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11242D" w14:textId="6B214F63" w:rsidR="006B0070" w:rsidRDefault="006B0070" w:rsidP="0042330C">
      <w:pPr>
        <w:rPr>
          <w:bdr w:val="single" w:sz="12" w:space="0" w:color="8ABE23" w:themeColor="accent3"/>
          <w:shd w:val="clear" w:color="auto" w:fill="8ABE23" w:themeFill="accent3"/>
        </w:rPr>
      </w:pPr>
      <w:bookmarkStart w:id="0" w:name="_GoBack"/>
      <w:bookmarkEnd w:id="0"/>
    </w:p>
    <w:p w14:paraId="7920F2F3" w14:textId="77777777" w:rsidR="006545D7" w:rsidRPr="00FF3E76" w:rsidRDefault="006545D7" w:rsidP="00FF3E76">
      <w:pPr>
        <w:pStyle w:val="Heading1"/>
        <w:rPr>
          <w:sz w:val="120"/>
          <w:szCs w:val="120"/>
          <w:bdr w:val="single" w:sz="12" w:space="0" w:color="8ABE23" w:themeColor="accent3"/>
          <w:shd w:val="clear" w:color="auto" w:fill="8ABE23" w:themeFill="accent3"/>
        </w:rPr>
      </w:pPr>
    </w:p>
    <w:p w14:paraId="419E3DD7" w14:textId="30BDB6F7" w:rsidR="00DF13B8" w:rsidRPr="00FF3E76" w:rsidRDefault="0042330C" w:rsidP="00FF3E76">
      <w:pPr>
        <w:pStyle w:val="Heading1"/>
        <w:rPr>
          <w:sz w:val="120"/>
          <w:szCs w:val="120"/>
          <w:bdr w:val="single" w:sz="12" w:space="0" w:color="8ABE23" w:themeColor="accent3"/>
          <w:shd w:val="clear" w:color="auto" w:fill="8ABE23" w:themeFill="accent3"/>
        </w:rPr>
      </w:pPr>
      <w:r w:rsidRPr="00FF3E76">
        <w:rPr>
          <w:noProof/>
          <w:sz w:val="120"/>
          <w:szCs w:val="120"/>
        </w:rPr>
        <w:drawing>
          <wp:anchor distT="0" distB="0" distL="114300" distR="114300" simplePos="0" relativeHeight="251657215" behindDoc="1" locked="0" layoutInCell="1" allowOverlap="1" wp14:anchorId="5D17D122" wp14:editId="0AE3780A">
            <wp:simplePos x="0" y="0"/>
            <wp:positionH relativeFrom="column">
              <wp:posOffset>-719455</wp:posOffset>
            </wp:positionH>
            <wp:positionV relativeFrom="margin">
              <wp:posOffset>-725805</wp:posOffset>
            </wp:positionV>
            <wp:extent cx="7559877" cy="10690521"/>
            <wp:effectExtent l="0" t="0" r="317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 pag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59877" cy="10690521"/>
                    </a:xfrm>
                    <a:prstGeom prst="rect">
                      <a:avLst/>
                    </a:prstGeom>
                  </pic:spPr>
                </pic:pic>
              </a:graphicData>
            </a:graphic>
            <wp14:sizeRelH relativeFrom="page">
              <wp14:pctWidth>0</wp14:pctWidth>
            </wp14:sizeRelH>
            <wp14:sizeRelV relativeFrom="page">
              <wp14:pctHeight>0</wp14:pctHeight>
            </wp14:sizeRelV>
          </wp:anchor>
        </w:drawing>
      </w:r>
    </w:p>
    <w:p w14:paraId="1D54E04E" w14:textId="6B2F2D13" w:rsidR="00E37437" w:rsidRPr="00FF3E76" w:rsidRDefault="00A22EFA" w:rsidP="00FF3E76">
      <w:pPr>
        <w:pStyle w:val="Heading1"/>
        <w:rPr>
          <w:sz w:val="120"/>
          <w:szCs w:val="120"/>
        </w:rPr>
      </w:pPr>
      <w:r w:rsidRPr="00FF3E76">
        <w:rPr>
          <w:sz w:val="120"/>
          <w:szCs w:val="120"/>
          <w:bdr w:val="single" w:sz="12" w:space="0" w:color="8ABE23" w:themeColor="accent3"/>
          <w:shd w:val="clear" w:color="auto" w:fill="8ABE23" w:themeFill="accent3"/>
        </w:rPr>
        <w:t>C</w:t>
      </w:r>
      <w:r w:rsidR="00CB16DE">
        <w:rPr>
          <w:sz w:val="120"/>
          <w:szCs w:val="120"/>
          <w:bdr w:val="single" w:sz="12" w:space="0" w:color="8ABE23" w:themeColor="accent3"/>
          <w:shd w:val="clear" w:color="auto" w:fill="8ABE23" w:themeFill="accent3"/>
        </w:rPr>
        <w:t>omplaints</w:t>
      </w:r>
      <w:r w:rsidRPr="00FF3E76">
        <w:rPr>
          <w:sz w:val="120"/>
          <w:szCs w:val="120"/>
          <w:bdr w:val="single" w:sz="12" w:space="0" w:color="8ABE23" w:themeColor="accent3"/>
          <w:shd w:val="clear" w:color="auto" w:fill="8ABE23" w:themeFill="accent3"/>
        </w:rPr>
        <w:br/>
      </w:r>
      <w:r w:rsidR="00CB16DE">
        <w:rPr>
          <w:sz w:val="120"/>
          <w:szCs w:val="120"/>
          <w:bdr w:val="single" w:sz="12" w:space="0" w:color="8ABE23" w:themeColor="accent3"/>
          <w:shd w:val="clear" w:color="auto" w:fill="8ABE23" w:themeFill="accent3"/>
        </w:rPr>
        <w:t>guidance</w:t>
      </w:r>
    </w:p>
    <w:p w14:paraId="4D2970F4" w14:textId="1D54C406" w:rsidR="00A22EFA" w:rsidRPr="00A22EFA" w:rsidRDefault="00CB16DE" w:rsidP="00E37437">
      <w:pPr>
        <w:rPr>
          <w:color w:val="FFFFFF" w:themeColor="background1"/>
          <w:sz w:val="40"/>
          <w:szCs w:val="40"/>
        </w:rPr>
      </w:pPr>
      <w:r>
        <w:rPr>
          <w:color w:val="FFFFFF" w:themeColor="background1"/>
          <w:sz w:val="40"/>
          <w:szCs w:val="40"/>
        </w:rPr>
        <w:t>March 2021</w:t>
      </w:r>
    </w:p>
    <w:p w14:paraId="68276B10" w14:textId="7DAFFB9E" w:rsidR="00E37437" w:rsidRPr="00A22EFA" w:rsidRDefault="00E37437" w:rsidP="00A22EFA">
      <w:pPr>
        <w:pStyle w:val="line"/>
      </w:pPr>
    </w:p>
    <w:p w14:paraId="6354C599" w14:textId="5535200E" w:rsidR="00A22EFA" w:rsidRDefault="00A22EFA" w:rsidP="00E37437"/>
    <w:p w14:paraId="1E5F5133" w14:textId="3D7D1335" w:rsidR="00DC2C72" w:rsidRPr="00CB16DE" w:rsidRDefault="00A22EFA" w:rsidP="00CB16DE">
      <w:r>
        <w:br w:type="page"/>
      </w:r>
    </w:p>
    <w:p w14:paraId="0A0CE26B" w14:textId="77777777" w:rsidR="00DC2C72" w:rsidRPr="00DC2C72" w:rsidRDefault="00DC2C72" w:rsidP="00DC2C72"/>
    <w:p w14:paraId="0258A552" w14:textId="3F9F6D28" w:rsidR="00801D5D" w:rsidRDefault="00986CA2" w:rsidP="00801D5D">
      <w:pPr>
        <w:pStyle w:val="Heading3"/>
        <w:rPr>
          <w:b/>
          <w:color w:val="FFFFFF" w:themeColor="background1"/>
          <w:sz w:val="40"/>
          <w:szCs w:val="40"/>
          <w:bdr w:val="single" w:sz="12" w:space="0" w:color="DB3B8E" w:themeColor="accent2"/>
          <w:shd w:val="clear" w:color="auto" w:fill="DB3B8E" w:themeFill="accent2"/>
        </w:rPr>
      </w:pPr>
      <w:bookmarkStart w:id="1" w:name="_Hlk65676455"/>
      <w:r w:rsidRPr="00986CA2">
        <w:rPr>
          <w:b/>
          <w:color w:val="FFFFFF" w:themeColor="background1"/>
          <w:sz w:val="40"/>
          <w:szCs w:val="40"/>
          <w:bdr w:val="single" w:sz="12" w:space="0" w:color="DB3B8E" w:themeColor="accent2"/>
          <w:shd w:val="clear" w:color="auto" w:fill="DB3B8E" w:themeFill="accent2"/>
        </w:rPr>
        <w:t xml:space="preserve">Why your complaints policy is so important </w:t>
      </w:r>
      <w:bookmarkEnd w:id="1"/>
    </w:p>
    <w:p w14:paraId="025D4365" w14:textId="77777777" w:rsidR="00F5389C" w:rsidRPr="006219F2" w:rsidRDefault="00F5389C" w:rsidP="00F5389C">
      <w:pPr>
        <w:pStyle w:val="Default"/>
        <w:rPr>
          <w:rFonts w:asciiTheme="minorHAnsi" w:hAnsiTheme="minorHAnsi" w:cstheme="minorBidi"/>
          <w:color w:val="004C6A" w:themeColor="text2"/>
          <w:sz w:val="22"/>
          <w:szCs w:val="22"/>
          <w:lang w:val="en-GB"/>
        </w:rPr>
      </w:pPr>
      <w:r w:rsidRPr="006219F2">
        <w:rPr>
          <w:rFonts w:asciiTheme="minorHAnsi" w:hAnsiTheme="minorHAnsi" w:cstheme="minorBidi"/>
          <w:color w:val="004C6A" w:themeColor="text2"/>
          <w:sz w:val="22"/>
          <w:szCs w:val="22"/>
          <w:lang w:val="en-GB"/>
        </w:rPr>
        <w:t xml:space="preserve">If we make a mistake, it’s important that we work quickly to put things right and learn from what has happened. Whether someone gives you a comment, a suggestion, feedback or makes a formal complaint about the work of Healthwatch, it provides a valuable opportunity to identify issues and to improve our work. </w:t>
      </w:r>
    </w:p>
    <w:p w14:paraId="4EEF229A" w14:textId="77777777" w:rsidR="00F5389C" w:rsidRPr="006219F2" w:rsidRDefault="00F5389C" w:rsidP="00F5389C">
      <w:pPr>
        <w:pStyle w:val="Default"/>
        <w:rPr>
          <w:rFonts w:asciiTheme="minorHAnsi" w:hAnsiTheme="minorHAnsi" w:cstheme="minorBidi"/>
          <w:color w:val="004C6A" w:themeColor="text2"/>
          <w:sz w:val="22"/>
          <w:szCs w:val="22"/>
          <w:lang w:val="en-GB"/>
        </w:rPr>
      </w:pPr>
    </w:p>
    <w:p w14:paraId="470F4E88" w14:textId="77777777" w:rsidR="00F5389C" w:rsidRPr="006219F2" w:rsidRDefault="00F5389C" w:rsidP="00F5389C">
      <w:r w:rsidRPr="006219F2">
        <w:t>Having a clear complaints policy and process can help you:</w:t>
      </w:r>
    </w:p>
    <w:p w14:paraId="2CFE0126" w14:textId="77777777" w:rsidR="00F5389C" w:rsidRPr="006219F2" w:rsidRDefault="00F5389C" w:rsidP="00F5389C">
      <w:pPr>
        <w:pStyle w:val="ListParagraph"/>
        <w:numPr>
          <w:ilvl w:val="0"/>
          <w:numId w:val="14"/>
        </w:numPr>
      </w:pPr>
      <w:r w:rsidRPr="006219F2">
        <w:t>Create a positive experience by welcoming feedback and making it easy for people to raise concerns or make a complaint.</w:t>
      </w:r>
    </w:p>
    <w:p w14:paraId="277ED936" w14:textId="77777777" w:rsidR="00F5389C" w:rsidRPr="006219F2" w:rsidRDefault="00F5389C" w:rsidP="00F5389C">
      <w:pPr>
        <w:pStyle w:val="ListParagraph"/>
        <w:numPr>
          <w:ilvl w:val="0"/>
          <w:numId w:val="14"/>
        </w:numPr>
      </w:pPr>
      <w:r w:rsidRPr="006219F2">
        <w:t>Provide an appropriate, compassionate and timely resolution for all parties.</w:t>
      </w:r>
    </w:p>
    <w:p w14:paraId="485FAE41" w14:textId="77777777" w:rsidR="00F5389C" w:rsidRPr="006219F2" w:rsidRDefault="00F5389C" w:rsidP="00F5389C">
      <w:pPr>
        <w:pStyle w:val="ListParagraph"/>
        <w:numPr>
          <w:ilvl w:val="0"/>
          <w:numId w:val="13"/>
        </w:numPr>
        <w:shd w:val="clear" w:color="auto" w:fill="FFFFFF"/>
        <w:spacing w:after="165"/>
      </w:pPr>
      <w:r w:rsidRPr="006219F2">
        <w:t>Promote a positive organisational culture of learning and improvement.</w:t>
      </w:r>
    </w:p>
    <w:p w14:paraId="423A4463" w14:textId="13D86C23" w:rsidR="00A061E9" w:rsidRDefault="00F5389C" w:rsidP="00A061E9">
      <w:pPr>
        <w:pStyle w:val="ListParagraph"/>
        <w:numPr>
          <w:ilvl w:val="0"/>
          <w:numId w:val="13"/>
        </w:numPr>
        <w:shd w:val="clear" w:color="auto" w:fill="FFFFFF"/>
        <w:spacing w:after="0"/>
        <w:ind w:left="714" w:hanging="357"/>
      </w:pPr>
      <w:r w:rsidRPr="006219F2">
        <w:t>Give staff the confidence and freedom to offer fair remedies to put things right when needed, and to act to make sure any learning is identified and acted on to improve</w:t>
      </w:r>
      <w:r w:rsidR="00A061E9">
        <w:t xml:space="preserve"> </w:t>
      </w:r>
      <w:r w:rsidRPr="006219F2">
        <w:t>services.</w:t>
      </w:r>
    </w:p>
    <w:p w14:paraId="7542DFE1" w14:textId="77777777" w:rsidR="00C05716" w:rsidRDefault="00C05716" w:rsidP="00D01134">
      <w:pPr>
        <w:pStyle w:val="Bullet"/>
        <w:numPr>
          <w:ilvl w:val="0"/>
          <w:numId w:val="0"/>
        </w:numPr>
      </w:pPr>
    </w:p>
    <w:p w14:paraId="4ED7A5B9" w14:textId="4D34C80C" w:rsidR="00A95FA6" w:rsidRDefault="000C3FE9" w:rsidP="00A95FA6">
      <w:pPr>
        <w:pStyle w:val="Heading1"/>
        <w:rPr>
          <w:b w:val="0"/>
          <w:color w:val="004C6A" w:themeColor="text2"/>
          <w:sz w:val="22"/>
          <w:szCs w:val="22"/>
          <w:bdr w:val="none" w:sz="0" w:space="0" w:color="auto"/>
          <w:shd w:val="clear" w:color="auto" w:fill="auto"/>
        </w:rPr>
      </w:pPr>
      <w:r>
        <w:t>Who is the policy for?</w:t>
      </w:r>
      <w:r w:rsidR="00FF3E76" w:rsidRPr="00024DEA">
        <w:t xml:space="preserve"> </w:t>
      </w:r>
      <w:r w:rsidR="00FF3E76" w:rsidRPr="00024DEA">
        <w:br/>
      </w:r>
      <w:r w:rsidR="00A95FA6" w:rsidRPr="00A95FA6">
        <w:rPr>
          <w:b w:val="0"/>
          <w:color w:val="004C6A" w:themeColor="text2"/>
          <w:sz w:val="22"/>
          <w:szCs w:val="22"/>
          <w:bdr w:val="none" w:sz="0" w:space="0" w:color="auto"/>
          <w:shd w:val="clear" w:color="auto" w:fill="auto"/>
        </w:rPr>
        <w:t xml:space="preserve">Any individual or organisation who is dissatisfied with any aspect of your service. You will have separate local guidance for complaints about other services and Healthwatch England provides guidance here: </w:t>
      </w:r>
      <w:hyperlink r:id="rId12" w:history="1">
        <w:r w:rsidR="00A95FA6" w:rsidRPr="000E73ED">
          <w:rPr>
            <w:rStyle w:val="Hyperlink"/>
            <w:b w:val="0"/>
            <w:sz w:val="22"/>
            <w:szCs w:val="22"/>
            <w:bdr w:val="none" w:sz="0" w:space="0" w:color="auto"/>
            <w:shd w:val="clear" w:color="auto" w:fill="auto"/>
          </w:rPr>
          <w:t>https://www.healthwatch.co.uk/help-making-complaint</w:t>
        </w:r>
      </w:hyperlink>
      <w:r w:rsidR="00A95FA6" w:rsidRPr="00A95FA6">
        <w:rPr>
          <w:b w:val="0"/>
          <w:color w:val="004C6A" w:themeColor="text2"/>
          <w:sz w:val="22"/>
          <w:szCs w:val="22"/>
          <w:bdr w:val="none" w:sz="0" w:space="0" w:color="auto"/>
          <w:shd w:val="clear" w:color="auto" w:fill="auto"/>
        </w:rPr>
        <w:t>.</w:t>
      </w:r>
    </w:p>
    <w:p w14:paraId="2B401FC4" w14:textId="77777777" w:rsidR="00A061E9" w:rsidRPr="00A061E9" w:rsidRDefault="00A061E9" w:rsidP="00A061E9"/>
    <w:p w14:paraId="1B13AFDA" w14:textId="669A6C2C" w:rsidR="00CA34F3" w:rsidRPr="00CA34F3" w:rsidRDefault="0029203D" w:rsidP="00A95FA6">
      <w:pPr>
        <w:pStyle w:val="Heading1"/>
      </w:pPr>
      <w:r w:rsidRPr="00983D92">
        <w:t xml:space="preserve">What </w:t>
      </w:r>
      <w:r w:rsidR="00A061E9">
        <w:t>does this mean for your local Healthwatch?</w:t>
      </w:r>
    </w:p>
    <w:p w14:paraId="6C10393D" w14:textId="77777777" w:rsidR="00D81781" w:rsidRPr="00D81781" w:rsidRDefault="00D81781" w:rsidP="00D81781">
      <w:r w:rsidRPr="00D81781">
        <w:t>It is important that if we make a mistake, we work quickly to put things right and learn from what has happened. We know from our work with the public what people expect when it comes to making a complaint. Your team should be empowered to provide:</w:t>
      </w:r>
    </w:p>
    <w:p w14:paraId="130AF0A9" w14:textId="77777777" w:rsidR="00D81781" w:rsidRPr="00D81781" w:rsidRDefault="00D81781" w:rsidP="00E54F38">
      <w:pPr>
        <w:pStyle w:val="ListParagraph"/>
        <w:numPr>
          <w:ilvl w:val="0"/>
          <w:numId w:val="16"/>
        </w:numPr>
      </w:pPr>
      <w:r w:rsidRPr="00E54F38">
        <w:rPr>
          <w:b/>
          <w:color w:val="009CD0"/>
        </w:rPr>
        <w:t>Encouragement and reassurance:</w:t>
      </w:r>
      <w:r w:rsidRPr="00E54F38">
        <w:rPr>
          <w:color w:val="009CD0"/>
        </w:rPr>
        <w:t xml:space="preserve"> </w:t>
      </w:r>
      <w:r w:rsidRPr="00D81781">
        <w:t>Individuals should feel encouraged to give feedback and be provided with the information they need to do so. They should receive reassurance that if they need to make a complaint, the service they get from Healthwatch will not be affected.</w:t>
      </w:r>
      <w:r w:rsidRPr="00D81781">
        <w:br/>
      </w:r>
    </w:p>
    <w:p w14:paraId="25BF31DA" w14:textId="77777777" w:rsidR="00D81781" w:rsidRPr="00D81781" w:rsidRDefault="00D81781" w:rsidP="00E54F38">
      <w:pPr>
        <w:pStyle w:val="ListParagraph"/>
        <w:numPr>
          <w:ilvl w:val="0"/>
          <w:numId w:val="16"/>
        </w:numPr>
      </w:pPr>
      <w:r w:rsidRPr="00E54F38">
        <w:rPr>
          <w:b/>
          <w:color w:val="009CD0"/>
        </w:rPr>
        <w:t>Respect and involvement</w:t>
      </w:r>
      <w:r w:rsidRPr="00E54F38">
        <w:rPr>
          <w:color w:val="009CD0"/>
        </w:rPr>
        <w:t xml:space="preserve">: </w:t>
      </w:r>
      <w:r w:rsidRPr="00D81781">
        <w:t>Individuals should feel listened to, respected, and involved throughout the process of making a complaint. They should be provided with the right support to make their complaint where appropriate.</w:t>
      </w:r>
      <w:r w:rsidRPr="00D81781">
        <w:br/>
        <w:t> </w:t>
      </w:r>
    </w:p>
    <w:p w14:paraId="32E84359" w14:textId="77777777" w:rsidR="00D81781" w:rsidRPr="00D81781" w:rsidRDefault="00D81781" w:rsidP="00E54F38">
      <w:pPr>
        <w:pStyle w:val="ListParagraph"/>
        <w:numPr>
          <w:ilvl w:val="0"/>
          <w:numId w:val="16"/>
        </w:numPr>
      </w:pPr>
      <w:r w:rsidRPr="00E54F38">
        <w:rPr>
          <w:b/>
          <w:color w:val="009CD0"/>
        </w:rPr>
        <w:t>A simple process with well trained staff:</w:t>
      </w:r>
      <w:r w:rsidRPr="00E54F38">
        <w:rPr>
          <w:color w:val="009CD0"/>
        </w:rPr>
        <w:t xml:space="preserve"> </w:t>
      </w:r>
      <w:r w:rsidRPr="00D81781">
        <w:t>The complaints process should be clear and easy to find. Staff should have the skills to listen and understand feedback and deal with it in an open and transparent way.</w:t>
      </w:r>
      <w:r w:rsidRPr="00D81781">
        <w:br/>
        <w:t> </w:t>
      </w:r>
    </w:p>
    <w:p w14:paraId="136C8E4B" w14:textId="77777777" w:rsidR="00D81781" w:rsidRPr="00D81781" w:rsidRDefault="00D81781" w:rsidP="00E54F38">
      <w:pPr>
        <w:pStyle w:val="ListParagraph"/>
        <w:numPr>
          <w:ilvl w:val="0"/>
          <w:numId w:val="16"/>
        </w:numPr>
      </w:pPr>
      <w:r w:rsidRPr="00E54F38">
        <w:rPr>
          <w:b/>
          <w:color w:val="009CD0"/>
        </w:rPr>
        <w:t>Assurance that all feedback is taken seriously, and changes made where needed:</w:t>
      </w:r>
      <w:r w:rsidRPr="00E54F38">
        <w:rPr>
          <w:color w:val="009CD0"/>
        </w:rPr>
        <w:t xml:space="preserve"> </w:t>
      </w:r>
      <w:r w:rsidRPr="00D81781">
        <w:t>Feedback should be taken seriously, and individuals who complain should receive an explanation of the steps Healthwatch will take to address the problem. It should also be made clear how Healthwatch uses people’s feedback to improve support.</w:t>
      </w:r>
      <w:r w:rsidRPr="00D81781">
        <w:br/>
        <w:t> </w:t>
      </w:r>
    </w:p>
    <w:p w14:paraId="469B885F" w14:textId="77777777" w:rsidR="00D81781" w:rsidRPr="00E54F38" w:rsidRDefault="00D81781" w:rsidP="00E54F38">
      <w:pPr>
        <w:pStyle w:val="ListParagraph"/>
        <w:numPr>
          <w:ilvl w:val="0"/>
          <w:numId w:val="16"/>
        </w:numPr>
        <w:rPr>
          <w:rFonts w:ascii="Verdana" w:hAnsi="Verdana" w:cs="Trebuchet MS"/>
          <w:bCs/>
          <w:color w:val="607988"/>
        </w:rPr>
      </w:pPr>
      <w:r w:rsidRPr="00E54F38">
        <w:rPr>
          <w:b/>
          <w:color w:val="009CD0"/>
        </w:rPr>
        <w:lastRenderedPageBreak/>
        <w:t>Clear information on what to do if the individual or organisation is not happy with the outcome:</w:t>
      </w:r>
      <w:r w:rsidRPr="00E54F38">
        <w:rPr>
          <w:color w:val="009CD0"/>
        </w:rPr>
        <w:t xml:space="preserve"> </w:t>
      </w:r>
      <w:r w:rsidRPr="00D81781">
        <w:t>If an individual is unhappy with the result of their complaint, they should be given clear information about how to contact the local council or the Local Government Ombudsman.</w:t>
      </w:r>
    </w:p>
    <w:p w14:paraId="337C02B9" w14:textId="63710074" w:rsidR="00D81781" w:rsidRDefault="00D81781" w:rsidP="00D81781">
      <w:r w:rsidRPr="00D81781">
        <w:t>Remember your Regional Managers are there to support you and you can approach them at any part of the process for assistance, particularly if you think that the complaint is likely to remain unresolved at team level and / or affect the reputation of Healthwatch (and potentially the trademark licence terms) and result in involvement with the Local Authority.</w:t>
      </w:r>
    </w:p>
    <w:p w14:paraId="012B59CE" w14:textId="77777777" w:rsidR="00C05716" w:rsidRPr="00D81781" w:rsidRDefault="00C05716" w:rsidP="00D81781"/>
    <w:p w14:paraId="762708FE" w14:textId="758976BB" w:rsidR="00A46C41" w:rsidRDefault="00A73C7B" w:rsidP="00FF3E76">
      <w:pPr>
        <w:pStyle w:val="Heading1"/>
      </w:pPr>
      <w:r>
        <w:t>Vexatious and malicious complaints</w:t>
      </w:r>
    </w:p>
    <w:p w14:paraId="232F9E21" w14:textId="77777777" w:rsidR="005332A2" w:rsidRPr="005332A2" w:rsidRDefault="005332A2" w:rsidP="005332A2">
      <w:pPr>
        <w:rPr>
          <w:bCs/>
          <w:lang w:val="en-US"/>
        </w:rPr>
      </w:pPr>
      <w:r w:rsidRPr="005332A2">
        <w:rPr>
          <w:bCs/>
          <w:lang w:val="en-US"/>
        </w:rPr>
        <w:t xml:space="preserve">A vexatious complaint is one that is pursued, regardless of its merits, solely to harass, annoy or subdue somebody; something that is unreasonable, without foundation, frivolous, repetitive, burdensome or unwarranted. </w:t>
      </w:r>
    </w:p>
    <w:p w14:paraId="3CF41907" w14:textId="77777777" w:rsidR="005332A2" w:rsidRPr="005332A2" w:rsidRDefault="005332A2" w:rsidP="005332A2">
      <w:pPr>
        <w:rPr>
          <w:bCs/>
          <w:lang w:val="en-US"/>
        </w:rPr>
      </w:pPr>
      <w:r w:rsidRPr="005332A2">
        <w:rPr>
          <w:bCs/>
          <w:lang w:val="en-US"/>
        </w:rPr>
        <w:t xml:space="preserve">A malicious complaint is one that is made with the intention of causing harm </w:t>
      </w:r>
    </w:p>
    <w:p w14:paraId="36C50328" w14:textId="195585A3" w:rsidR="005332A2" w:rsidRDefault="005332A2" w:rsidP="005332A2">
      <w:pPr>
        <w:rPr>
          <w:bCs/>
          <w:lang w:val="en-US"/>
        </w:rPr>
      </w:pPr>
      <w:r w:rsidRPr="005332A2">
        <w:rPr>
          <w:bCs/>
          <w:lang w:val="en-US"/>
        </w:rPr>
        <w:t xml:space="preserve">Even if someone has made a vexatious or malicious complaint in the past, it must not be assumed that any other complaint they make will also be vexatious or malicious. Each case must be considered on its merits, be investigated and evidence based, as appropriate in line with your agreed policy. </w:t>
      </w:r>
    </w:p>
    <w:p w14:paraId="4E284E45" w14:textId="32129740" w:rsidR="00155F06" w:rsidRDefault="00155F06" w:rsidP="005332A2">
      <w:pPr>
        <w:rPr>
          <w:bCs/>
          <w:lang w:val="en-US"/>
        </w:rPr>
      </w:pPr>
    </w:p>
    <w:p w14:paraId="5AE07CFD" w14:textId="26F032B3" w:rsidR="008B7996" w:rsidRDefault="008B7996" w:rsidP="008B7996">
      <w:pPr>
        <w:rPr>
          <w:b/>
          <w:bCs/>
          <w:color w:val="FFFFFF" w:themeColor="background1"/>
          <w:sz w:val="40"/>
          <w:szCs w:val="40"/>
          <w:bdr w:val="single" w:sz="12" w:space="0" w:color="DB3B8E" w:themeColor="accent2"/>
          <w:shd w:val="clear" w:color="auto" w:fill="DB3B8E" w:themeFill="accent2"/>
          <w:lang w:val="en-US"/>
        </w:rPr>
      </w:pPr>
      <w:r w:rsidRPr="008B7996">
        <w:rPr>
          <w:b/>
          <w:bCs/>
          <w:color w:val="FFFFFF" w:themeColor="background1"/>
          <w:sz w:val="40"/>
          <w:szCs w:val="40"/>
          <w:bdr w:val="single" w:sz="12" w:space="0" w:color="DB3B8E" w:themeColor="accent2"/>
          <w:shd w:val="clear" w:color="auto" w:fill="DB3B8E" w:themeFill="accent2"/>
          <w:lang w:val="en-US"/>
        </w:rPr>
        <w:t>How do I ensure our policy is relevant, regularly used and protects our brand and reputation?</w:t>
      </w:r>
    </w:p>
    <w:p w14:paraId="44AEACE3" w14:textId="64420888" w:rsidR="00D9206F" w:rsidRPr="00D9206F" w:rsidRDefault="00D9206F" w:rsidP="00D9206F">
      <w:pPr>
        <w:rPr>
          <w:bCs/>
          <w:lang w:val="en-US"/>
        </w:rPr>
      </w:pPr>
      <w:r w:rsidRPr="00D9206F">
        <w:rPr>
          <w:bCs/>
          <w:lang w:val="en-US"/>
        </w:rPr>
        <w:t>Your complaints policy and procedures should be published on your website, to make it accessible to any member of the public or organisation you work with to make a complaint if they need to. Consider the need for accessible formats such as Easy Read, and translation into other languages.</w:t>
      </w:r>
    </w:p>
    <w:p w14:paraId="24DB4387" w14:textId="169670AD" w:rsidR="00D9206F" w:rsidRPr="00D9206F" w:rsidRDefault="00D9206F" w:rsidP="00D9206F">
      <w:pPr>
        <w:rPr>
          <w:bCs/>
          <w:lang w:val="en-US"/>
        </w:rPr>
      </w:pPr>
      <w:r w:rsidRPr="00D9206F">
        <w:rPr>
          <w:bCs/>
          <w:lang w:val="en-US"/>
        </w:rPr>
        <w:t>Your board will keep up to date as your policy and procedures should be reviewed on a regular basis by them and noted in board minutes; it is good practice to undertake reviews on no more than a three year review cycle.</w:t>
      </w:r>
    </w:p>
    <w:p w14:paraId="0ABA6764" w14:textId="282F4BC7" w:rsidR="00D9206F" w:rsidRDefault="00D9206F" w:rsidP="00D9206F">
      <w:pPr>
        <w:rPr>
          <w:bCs/>
          <w:lang w:val="en-US"/>
        </w:rPr>
      </w:pPr>
      <w:r w:rsidRPr="00D9206F">
        <w:rPr>
          <w:bCs/>
          <w:lang w:val="en-US"/>
        </w:rPr>
        <w:t>All staff and volunteers should be aware of and understand the complaints process within your team. These are the people most likely to receive the complaint in the first instance, and it is important that they know what action to take. Ensure that as part of their induction, staff and volunteers become familiar with your complaints process, and encourage them to read the policy and procedures to refresh their knowledge on a regular basis, at a minimum following review by your Board.</w:t>
      </w:r>
    </w:p>
    <w:p w14:paraId="397AD554" w14:textId="3856CEA8" w:rsidR="00D9206F" w:rsidRDefault="00D9206F" w:rsidP="00D9206F">
      <w:pPr>
        <w:rPr>
          <w:bCs/>
          <w:lang w:val="en-US"/>
        </w:rPr>
      </w:pPr>
    </w:p>
    <w:p w14:paraId="4F72F200" w14:textId="77777777" w:rsidR="00CA0348" w:rsidRPr="00CA0348" w:rsidRDefault="00CA0348" w:rsidP="00CA0348">
      <w:pPr>
        <w:rPr>
          <w:b/>
          <w:bCs/>
          <w:color w:val="FFFFFF" w:themeColor="background1"/>
          <w:sz w:val="40"/>
          <w:szCs w:val="40"/>
          <w:bdr w:val="single" w:sz="12" w:space="0" w:color="DB3B8E" w:themeColor="accent2"/>
          <w:shd w:val="clear" w:color="auto" w:fill="DB3B8E" w:themeFill="accent2"/>
          <w:lang w:val="en-US"/>
        </w:rPr>
      </w:pPr>
      <w:r w:rsidRPr="00CA0348">
        <w:rPr>
          <w:b/>
          <w:bCs/>
          <w:color w:val="FFFFFF" w:themeColor="background1"/>
          <w:sz w:val="40"/>
          <w:szCs w:val="40"/>
          <w:bdr w:val="single" w:sz="12" w:space="0" w:color="DB3B8E" w:themeColor="accent2"/>
          <w:shd w:val="clear" w:color="auto" w:fill="DB3B8E" w:themeFill="accent2"/>
          <w:lang w:val="en-US"/>
        </w:rPr>
        <w:t>Do I have to use the template policy and procedures document?</w:t>
      </w:r>
    </w:p>
    <w:p w14:paraId="08DEF3E5" w14:textId="26C05536" w:rsidR="00536BA7" w:rsidRPr="00536BA7" w:rsidRDefault="00536BA7" w:rsidP="00536BA7">
      <w:pPr>
        <w:rPr>
          <w:bCs/>
          <w:lang w:val="en-US"/>
        </w:rPr>
      </w:pPr>
      <w:r w:rsidRPr="00536BA7">
        <w:rPr>
          <w:bCs/>
          <w:lang w:val="en-US"/>
        </w:rPr>
        <w:t>The important thing is you have a complaints policy that is accessible to all on your website. The key areas it should cover are:</w:t>
      </w:r>
    </w:p>
    <w:p w14:paraId="6C3F4EA9" w14:textId="77777777" w:rsidR="00536BA7" w:rsidRPr="00536BA7" w:rsidRDefault="00536BA7" w:rsidP="00536BA7">
      <w:pPr>
        <w:numPr>
          <w:ilvl w:val="0"/>
          <w:numId w:val="17"/>
        </w:numPr>
        <w:rPr>
          <w:bCs/>
          <w:lang w:val="en-US"/>
        </w:rPr>
      </w:pPr>
      <w:r w:rsidRPr="00536BA7">
        <w:rPr>
          <w:bCs/>
          <w:lang w:val="en-US"/>
        </w:rPr>
        <w:lastRenderedPageBreak/>
        <w:t>Everyone who uses your service knows how to complain – for example the process is freely available and accessible on your website and on any leaflets you may have.</w:t>
      </w:r>
    </w:p>
    <w:p w14:paraId="53B9AB9E" w14:textId="77777777" w:rsidR="00536BA7" w:rsidRPr="00536BA7" w:rsidRDefault="00536BA7" w:rsidP="00536BA7">
      <w:pPr>
        <w:numPr>
          <w:ilvl w:val="0"/>
          <w:numId w:val="17"/>
        </w:numPr>
        <w:rPr>
          <w:bCs/>
          <w:lang w:val="en-US"/>
        </w:rPr>
      </w:pPr>
      <w:r w:rsidRPr="00536BA7">
        <w:rPr>
          <w:bCs/>
          <w:lang w:val="en-US"/>
        </w:rPr>
        <w:t>The process is easy to follow, and each stage is clear.</w:t>
      </w:r>
    </w:p>
    <w:p w14:paraId="14F9C0EA" w14:textId="77777777" w:rsidR="00536BA7" w:rsidRPr="00536BA7" w:rsidRDefault="00536BA7" w:rsidP="00536BA7">
      <w:pPr>
        <w:numPr>
          <w:ilvl w:val="0"/>
          <w:numId w:val="17"/>
        </w:numPr>
        <w:rPr>
          <w:bCs/>
          <w:lang w:val="en-US"/>
        </w:rPr>
      </w:pPr>
      <w:r w:rsidRPr="00536BA7">
        <w:rPr>
          <w:bCs/>
          <w:lang w:val="en-US"/>
        </w:rPr>
        <w:t>There are mechanisms in your process to keep the complainant informed of progress, demonstrate it is being taken seriously and you are working towards a resolution.</w:t>
      </w:r>
    </w:p>
    <w:p w14:paraId="4C6A95CB" w14:textId="77777777" w:rsidR="00536BA7" w:rsidRPr="00536BA7" w:rsidRDefault="00536BA7" w:rsidP="00536BA7">
      <w:pPr>
        <w:numPr>
          <w:ilvl w:val="0"/>
          <w:numId w:val="17"/>
        </w:numPr>
        <w:rPr>
          <w:bCs/>
          <w:lang w:val="en-US"/>
        </w:rPr>
      </w:pPr>
      <w:r w:rsidRPr="00536BA7">
        <w:rPr>
          <w:bCs/>
          <w:lang w:val="en-US"/>
        </w:rPr>
        <w:t>Always let the complainant know the outcome of their complaint – let them know they made a difference and their interaction with you was worthwhile.</w:t>
      </w:r>
    </w:p>
    <w:p w14:paraId="30015CD9" w14:textId="3B91B888" w:rsidR="00536BA7" w:rsidRDefault="00536BA7" w:rsidP="00536BA7">
      <w:pPr>
        <w:numPr>
          <w:ilvl w:val="0"/>
          <w:numId w:val="17"/>
        </w:numPr>
        <w:rPr>
          <w:bCs/>
          <w:lang w:val="en-US"/>
        </w:rPr>
      </w:pPr>
      <w:r w:rsidRPr="00536BA7">
        <w:rPr>
          <w:bCs/>
          <w:lang w:val="en-US"/>
        </w:rPr>
        <w:t xml:space="preserve">Leave them feeling they would speak up again in the future – by handling their complaint fairly and demonstrating services were improved as a result of their involvement. </w:t>
      </w:r>
    </w:p>
    <w:p w14:paraId="606110EC" w14:textId="06D30D92" w:rsidR="00536BA7" w:rsidRDefault="00536BA7" w:rsidP="00536BA7">
      <w:pPr>
        <w:rPr>
          <w:bCs/>
          <w:lang w:val="en-US"/>
        </w:rPr>
      </w:pPr>
    </w:p>
    <w:p w14:paraId="7B332428" w14:textId="77777777" w:rsidR="00270A52" w:rsidRPr="00270A52" w:rsidRDefault="00270A52" w:rsidP="00270A52">
      <w:pPr>
        <w:rPr>
          <w:b/>
          <w:bCs/>
          <w:color w:val="FFFFFF" w:themeColor="background1"/>
          <w:sz w:val="40"/>
          <w:szCs w:val="40"/>
          <w:bdr w:val="single" w:sz="12" w:space="0" w:color="DB3B8E" w:themeColor="accent2"/>
          <w:shd w:val="clear" w:color="auto" w:fill="DB3B8E" w:themeFill="accent2"/>
          <w:lang w:val="en-US"/>
        </w:rPr>
      </w:pPr>
      <w:r w:rsidRPr="00270A52">
        <w:rPr>
          <w:b/>
          <w:bCs/>
          <w:color w:val="FFFFFF" w:themeColor="background1"/>
          <w:sz w:val="40"/>
          <w:szCs w:val="40"/>
          <w:bdr w:val="single" w:sz="12" w:space="0" w:color="DB3B8E" w:themeColor="accent2"/>
          <w:shd w:val="clear" w:color="auto" w:fill="DB3B8E" w:themeFill="accent2"/>
          <w:lang w:val="en-US"/>
        </w:rPr>
        <w:t>How does this fit in to the Quality Framework?</w:t>
      </w:r>
    </w:p>
    <w:p w14:paraId="36414FE5" w14:textId="43E291E7" w:rsidR="00D03B61" w:rsidRDefault="00D03B61" w:rsidP="00D03B61">
      <w:pPr>
        <w:rPr>
          <w:bCs/>
          <w:lang w:val="en-US"/>
        </w:rPr>
      </w:pPr>
      <w:bookmarkStart w:id="2" w:name="_Hlk65677555"/>
      <w:r w:rsidRPr="00D03B61">
        <w:rPr>
          <w:bCs/>
          <w:lang w:val="en-US"/>
        </w:rPr>
        <w:t xml:space="preserve">The Healthwatch Quality Framework sets out the key ingredients for running an effective Healthwatch. As part of your leadership responsibilities, handling complaints is covered within the </w:t>
      </w:r>
      <w:r w:rsidRPr="00D03B61">
        <w:rPr>
          <w:b/>
          <w:bCs/>
          <w:color w:val="009CD0"/>
          <w:lang w:val="en-US"/>
        </w:rPr>
        <w:t>Leadership and Decision Making</w:t>
      </w:r>
      <w:r w:rsidRPr="00D03B61">
        <w:rPr>
          <w:bCs/>
          <w:color w:val="009CD0"/>
          <w:lang w:val="en-US"/>
        </w:rPr>
        <w:t xml:space="preserve"> </w:t>
      </w:r>
      <w:r w:rsidRPr="00D03B61">
        <w:rPr>
          <w:bCs/>
          <w:lang w:val="en-US"/>
        </w:rPr>
        <w:t>domain.</w:t>
      </w:r>
    </w:p>
    <w:bookmarkEnd w:id="2"/>
    <w:p w14:paraId="3B674D0E" w14:textId="0503F8BE" w:rsidR="00D03B61" w:rsidRDefault="00D03B61" w:rsidP="00D03B61">
      <w:pPr>
        <w:rPr>
          <w:bCs/>
          <w:lang w:val="en-US"/>
        </w:rPr>
      </w:pPr>
    </w:p>
    <w:p w14:paraId="01017CC9" w14:textId="77777777" w:rsidR="00FC4664" w:rsidRPr="00FC4664" w:rsidRDefault="00FC4664" w:rsidP="00FC4664">
      <w:pPr>
        <w:rPr>
          <w:b/>
          <w:bCs/>
          <w:color w:val="FFFFFF" w:themeColor="background1"/>
          <w:sz w:val="40"/>
          <w:szCs w:val="40"/>
          <w:bdr w:val="single" w:sz="12" w:space="0" w:color="DB3B8E" w:themeColor="accent2"/>
          <w:shd w:val="clear" w:color="auto" w:fill="DB3B8E" w:themeFill="accent2"/>
          <w:lang w:val="en-US"/>
        </w:rPr>
      </w:pPr>
      <w:r w:rsidRPr="00FC4664">
        <w:rPr>
          <w:b/>
          <w:bCs/>
          <w:color w:val="FFFFFF" w:themeColor="background1"/>
          <w:sz w:val="40"/>
          <w:szCs w:val="40"/>
          <w:bdr w:val="single" w:sz="12" w:space="0" w:color="DB3B8E" w:themeColor="accent2"/>
          <w:shd w:val="clear" w:color="auto" w:fill="DB3B8E" w:themeFill="accent2"/>
          <w:lang w:val="en-US"/>
        </w:rPr>
        <w:t>How does this fit in with our commitment to Equality, Diversity and Inclusion?</w:t>
      </w:r>
    </w:p>
    <w:p w14:paraId="6F05CC08" w14:textId="3C3ABF16" w:rsidR="00F1125F" w:rsidRPr="00F1125F" w:rsidRDefault="00F1125F" w:rsidP="00F1125F">
      <w:pPr>
        <w:rPr>
          <w:bCs/>
          <w:lang w:val="en-US"/>
        </w:rPr>
      </w:pPr>
      <w:r w:rsidRPr="00F1125F">
        <w:rPr>
          <w:bCs/>
          <w:lang w:val="en-US"/>
        </w:rPr>
        <w:t xml:space="preserve">Equality, diversity and inclusion should cut across all activity of Healthwatch and those involved in carrying out that activity. Handling complaints gives you the opportunity to help you monitor and demonstrate that you do not disproportionately affect people with protected characteristics or create or perpetuate inequality. </w:t>
      </w:r>
    </w:p>
    <w:p w14:paraId="220BC788" w14:textId="34C19066" w:rsidR="00D03B61" w:rsidRPr="00D03B61" w:rsidRDefault="00F1125F" w:rsidP="00F1125F">
      <w:pPr>
        <w:rPr>
          <w:bCs/>
          <w:lang w:val="en-US"/>
        </w:rPr>
      </w:pPr>
      <w:r w:rsidRPr="00F1125F">
        <w:rPr>
          <w:bCs/>
          <w:lang w:val="en-US"/>
        </w:rPr>
        <w:t>All feedback is important to ensure you are not discriminating or excluding any individual in your team or potential member of your team and are acting in an inclusive manner.</w:t>
      </w:r>
    </w:p>
    <w:p w14:paraId="0B557CE7" w14:textId="510CCDA0" w:rsidR="00F1125F" w:rsidRDefault="00F1125F">
      <w:pPr>
        <w:rPr>
          <w:b/>
          <w:bCs/>
          <w:color w:val="FFFFFF" w:themeColor="background1"/>
          <w:sz w:val="40"/>
          <w:szCs w:val="40"/>
          <w:bdr w:val="single" w:sz="12" w:space="0" w:color="DB3B8E" w:themeColor="accent2"/>
          <w:shd w:val="clear" w:color="auto" w:fill="DB3B8E" w:themeFill="accent2"/>
          <w:lang w:val="en-US"/>
        </w:rPr>
      </w:pPr>
    </w:p>
    <w:sectPr w:rsidR="00F1125F" w:rsidSect="0029203D">
      <w:headerReference w:type="default" r:id="rId13"/>
      <w:footerReference w:type="default" r:id="rId14"/>
      <w:pgSz w:w="11906" w:h="16838"/>
      <w:pgMar w:top="1134" w:right="1134" w:bottom="1134" w:left="1134" w:header="425"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7B04E4" w14:textId="77777777" w:rsidR="00BD15F3" w:rsidRDefault="00BD15F3" w:rsidP="0029203D">
      <w:pPr>
        <w:spacing w:after="0" w:line="240" w:lineRule="auto"/>
      </w:pPr>
      <w:r>
        <w:separator/>
      </w:r>
    </w:p>
  </w:endnote>
  <w:endnote w:type="continuationSeparator" w:id="0">
    <w:p w14:paraId="3BAA7ACB" w14:textId="77777777" w:rsidR="00BD15F3" w:rsidRDefault="00BD15F3" w:rsidP="002920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imes New Roman (Body CS)">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206" w:type="dxa"/>
      <w:tblInd w:w="-284" w:type="dxa"/>
      <w:tblBorders>
        <w:top w:val="none" w:sz="0" w:space="0" w:color="auto"/>
        <w:left w:val="none" w:sz="0" w:space="0" w:color="auto"/>
        <w:bottom w:val="single" w:sz="6" w:space="0" w:color="8ABE23" w:themeColor="accent3"/>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03"/>
      <w:gridCol w:w="5103"/>
    </w:tblGrid>
    <w:tr w:rsidR="00E37437" w:rsidRPr="0029203D" w14:paraId="785AF4FB" w14:textId="77777777" w:rsidTr="0010363F">
      <w:tc>
        <w:tcPr>
          <w:tcW w:w="4814" w:type="dxa"/>
        </w:tcPr>
        <w:p w14:paraId="6A2EF366" w14:textId="6DE21B8B" w:rsidR="00E37437" w:rsidRPr="0029203D" w:rsidRDefault="00E37437" w:rsidP="0029203D">
          <w:pPr>
            <w:pStyle w:val="Footer"/>
            <w:spacing w:before="60" w:after="60"/>
            <w:rPr>
              <w:b/>
            </w:rPr>
          </w:pPr>
        </w:p>
      </w:tc>
      <w:tc>
        <w:tcPr>
          <w:tcW w:w="4814" w:type="dxa"/>
        </w:tcPr>
        <w:p w14:paraId="263C74D6" w14:textId="77777777" w:rsidR="00E37437" w:rsidRPr="0029203D" w:rsidRDefault="00E37437" w:rsidP="0029203D">
          <w:pPr>
            <w:pStyle w:val="Footer"/>
            <w:spacing w:before="60" w:after="60"/>
            <w:jc w:val="right"/>
            <w:rPr>
              <w:b/>
            </w:rPr>
          </w:pPr>
          <w:r w:rsidRPr="0029203D">
            <w:rPr>
              <w:b/>
            </w:rPr>
            <w:fldChar w:fldCharType="begin"/>
          </w:r>
          <w:r w:rsidRPr="0029203D">
            <w:rPr>
              <w:b/>
            </w:rPr>
            <w:instrText xml:space="preserve"> PAGE   \* MERGEFORMAT </w:instrText>
          </w:r>
          <w:r w:rsidRPr="0029203D">
            <w:rPr>
              <w:b/>
            </w:rPr>
            <w:fldChar w:fldCharType="separate"/>
          </w:r>
          <w:r w:rsidRPr="0029203D">
            <w:rPr>
              <w:b/>
              <w:noProof/>
            </w:rPr>
            <w:t>1</w:t>
          </w:r>
          <w:r w:rsidRPr="0029203D">
            <w:rPr>
              <w:b/>
              <w:noProof/>
            </w:rPr>
            <w:fldChar w:fldCharType="end"/>
          </w:r>
        </w:p>
      </w:tc>
    </w:tr>
  </w:tbl>
  <w:p w14:paraId="547526B6" w14:textId="77777777" w:rsidR="00E37437" w:rsidRDefault="00E374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B8D04B" w14:textId="77777777" w:rsidR="00BD15F3" w:rsidRDefault="00BD15F3" w:rsidP="0029203D">
      <w:pPr>
        <w:spacing w:after="0" w:line="240" w:lineRule="auto"/>
      </w:pPr>
      <w:r>
        <w:separator/>
      </w:r>
    </w:p>
  </w:footnote>
  <w:footnote w:type="continuationSeparator" w:id="0">
    <w:p w14:paraId="42560F21" w14:textId="77777777" w:rsidR="00BD15F3" w:rsidRDefault="00BD15F3" w:rsidP="002920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206" w:type="dxa"/>
      <w:tblInd w:w="-284" w:type="dxa"/>
      <w:tblBorders>
        <w:top w:val="none" w:sz="0" w:space="0" w:color="auto"/>
        <w:left w:val="none" w:sz="0" w:space="0" w:color="auto"/>
        <w:bottom w:val="single" w:sz="12" w:space="0" w:color="8ABE23" w:themeColor="accent3"/>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03"/>
      <w:gridCol w:w="5103"/>
    </w:tblGrid>
    <w:tr w:rsidR="00E37437" w14:paraId="2D4E9C47" w14:textId="77777777" w:rsidTr="0EE63E26">
      <w:tc>
        <w:tcPr>
          <w:tcW w:w="4814" w:type="dxa"/>
        </w:tcPr>
        <w:p w14:paraId="47DAD914" w14:textId="498E56F0" w:rsidR="00E37437" w:rsidRPr="0029203D" w:rsidRDefault="00CB16DE" w:rsidP="0029203D">
          <w:pPr>
            <w:pStyle w:val="Header"/>
            <w:spacing w:after="60"/>
            <w:rPr>
              <w:b/>
            </w:rPr>
          </w:pPr>
          <w:r>
            <w:rPr>
              <w:b/>
            </w:rPr>
            <w:t>Complaints guidance</w:t>
          </w:r>
        </w:p>
      </w:tc>
      <w:tc>
        <w:tcPr>
          <w:tcW w:w="4814" w:type="dxa"/>
        </w:tcPr>
        <w:p w14:paraId="31C6A903" w14:textId="77777777" w:rsidR="00E37437" w:rsidRDefault="0EE63E26" w:rsidP="0029203D">
          <w:pPr>
            <w:pStyle w:val="Header"/>
            <w:spacing w:after="60"/>
            <w:jc w:val="right"/>
          </w:pPr>
          <w:r>
            <w:rPr>
              <w:noProof/>
            </w:rPr>
            <w:drawing>
              <wp:inline distT="0" distB="0" distL="0" distR="0" wp14:anchorId="6B0F6C56" wp14:editId="7B8ACDD8">
                <wp:extent cx="1363583" cy="180000"/>
                <wp:effectExtent l="0" t="0" r="0" b="0"/>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363583" cy="180000"/>
                        </a:xfrm>
                        <a:prstGeom prst="rect">
                          <a:avLst/>
                        </a:prstGeom>
                      </pic:spPr>
                    </pic:pic>
                  </a:graphicData>
                </a:graphic>
              </wp:inline>
            </w:drawing>
          </w:r>
        </w:p>
      </w:tc>
    </w:tr>
  </w:tbl>
  <w:p w14:paraId="3BCE0E82" w14:textId="77777777" w:rsidR="00E37437" w:rsidRDefault="00E374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A243EA8"/>
    <w:lvl w:ilvl="0">
      <w:start w:val="1"/>
      <w:numFmt w:val="decimal"/>
      <w:lvlText w:val="%1."/>
      <w:lvlJc w:val="left"/>
      <w:pPr>
        <w:tabs>
          <w:tab w:val="num" w:pos="1492"/>
        </w:tabs>
        <w:ind w:left="1492" w:hanging="360"/>
      </w:pPr>
    </w:lvl>
  </w:abstractNum>
  <w:abstractNum w:abstractNumId="1" w15:restartNumberingAfterBreak="0">
    <w:nsid w:val="FFFFFF7D"/>
    <w:multiLevelType w:val="hybridMultilevel"/>
    <w:tmpl w:val="0750FB12"/>
    <w:lvl w:ilvl="0" w:tplc="BF1655B8">
      <w:start w:val="1"/>
      <w:numFmt w:val="decimal"/>
      <w:lvlText w:val="%1."/>
      <w:lvlJc w:val="left"/>
      <w:pPr>
        <w:tabs>
          <w:tab w:val="num" w:pos="1209"/>
        </w:tabs>
        <w:ind w:left="1209" w:hanging="360"/>
      </w:pPr>
    </w:lvl>
    <w:lvl w:ilvl="1" w:tplc="04662374">
      <w:numFmt w:val="decimal"/>
      <w:lvlText w:val=""/>
      <w:lvlJc w:val="left"/>
    </w:lvl>
    <w:lvl w:ilvl="2" w:tplc="7B8C40DC">
      <w:numFmt w:val="decimal"/>
      <w:lvlText w:val=""/>
      <w:lvlJc w:val="left"/>
    </w:lvl>
    <w:lvl w:ilvl="3" w:tplc="A9BE5736">
      <w:numFmt w:val="decimal"/>
      <w:lvlText w:val=""/>
      <w:lvlJc w:val="left"/>
    </w:lvl>
    <w:lvl w:ilvl="4" w:tplc="29948E72">
      <w:numFmt w:val="decimal"/>
      <w:lvlText w:val=""/>
      <w:lvlJc w:val="left"/>
    </w:lvl>
    <w:lvl w:ilvl="5" w:tplc="2188E79E">
      <w:numFmt w:val="decimal"/>
      <w:lvlText w:val=""/>
      <w:lvlJc w:val="left"/>
    </w:lvl>
    <w:lvl w:ilvl="6" w:tplc="4FF60E60">
      <w:numFmt w:val="decimal"/>
      <w:lvlText w:val=""/>
      <w:lvlJc w:val="left"/>
    </w:lvl>
    <w:lvl w:ilvl="7" w:tplc="FDC406D2">
      <w:numFmt w:val="decimal"/>
      <w:lvlText w:val=""/>
      <w:lvlJc w:val="left"/>
    </w:lvl>
    <w:lvl w:ilvl="8" w:tplc="0310D582">
      <w:numFmt w:val="decimal"/>
      <w:lvlText w:val=""/>
      <w:lvlJc w:val="left"/>
    </w:lvl>
  </w:abstractNum>
  <w:abstractNum w:abstractNumId="2" w15:restartNumberingAfterBreak="0">
    <w:nsid w:val="FFFFFF7E"/>
    <w:multiLevelType w:val="singleLevel"/>
    <w:tmpl w:val="6BDA288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36A1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BA64A6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166847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10E7F1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A6BFB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79AFB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F3866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B239C1"/>
    <w:multiLevelType w:val="hybridMultilevel"/>
    <w:tmpl w:val="DEBEB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7B540E9"/>
    <w:multiLevelType w:val="hybridMultilevel"/>
    <w:tmpl w:val="F7BA6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A5A2635"/>
    <w:multiLevelType w:val="hybridMultilevel"/>
    <w:tmpl w:val="DCF2BAAC"/>
    <w:lvl w:ilvl="0" w:tplc="0809000F">
      <w:start w:val="1"/>
      <w:numFmt w:val="decimal"/>
      <w:lvlText w:val="%1."/>
      <w:lvlJc w:val="left"/>
      <w:pPr>
        <w:ind w:left="720" w:hanging="360"/>
      </w:pPr>
      <w:rPr>
        <w:rFonts w:hint="default"/>
        <w:color w:val="009CD0"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AC5EF3"/>
    <w:multiLevelType w:val="hybridMultilevel"/>
    <w:tmpl w:val="A5ECCB86"/>
    <w:lvl w:ilvl="0" w:tplc="08090019">
      <w:start w:val="1"/>
      <w:numFmt w:val="lowerLetter"/>
      <w:lvlText w:val="%1."/>
      <w:lvlJc w:val="lef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4" w15:restartNumberingAfterBreak="0">
    <w:nsid w:val="2CAB64F7"/>
    <w:multiLevelType w:val="hybridMultilevel"/>
    <w:tmpl w:val="570E3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2B66D5"/>
    <w:multiLevelType w:val="hybridMultilevel"/>
    <w:tmpl w:val="20721914"/>
    <w:lvl w:ilvl="0" w:tplc="67C804FE">
      <w:start w:val="1"/>
      <w:numFmt w:val="bullet"/>
      <w:pStyle w:val="Bullet"/>
      <w:lvlText w:val=""/>
      <w:lvlJc w:val="left"/>
      <w:pPr>
        <w:ind w:left="720" w:hanging="360"/>
      </w:pPr>
      <w:rPr>
        <w:rFonts w:ascii="Symbol" w:hAnsi="Symbol" w:hint="default"/>
        <w:color w:val="009CD0"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442AB0"/>
    <w:multiLevelType w:val="hybridMultilevel"/>
    <w:tmpl w:val="E8162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94524A0"/>
    <w:multiLevelType w:val="hybridMultilevel"/>
    <w:tmpl w:val="B8368E9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88E7ECD"/>
    <w:multiLevelType w:val="hybridMultilevel"/>
    <w:tmpl w:val="9548656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9" w15:restartNumberingAfterBreak="0">
    <w:nsid w:val="5B313400"/>
    <w:multiLevelType w:val="hybridMultilevel"/>
    <w:tmpl w:val="62B65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F3379A1"/>
    <w:multiLevelType w:val="hybridMultilevel"/>
    <w:tmpl w:val="73AE39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169553F"/>
    <w:multiLevelType w:val="hybridMultilevel"/>
    <w:tmpl w:val="5EBAA1F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3F868AD"/>
    <w:multiLevelType w:val="hybridMultilevel"/>
    <w:tmpl w:val="EAD47FC8"/>
    <w:lvl w:ilvl="0" w:tplc="08090017">
      <w:start w:val="1"/>
      <w:numFmt w:val="lowerLetter"/>
      <w:lvlText w:val="%1)"/>
      <w:lvlJc w:val="lef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3" w15:restartNumberingAfterBreak="0">
    <w:nsid w:val="720C04F4"/>
    <w:multiLevelType w:val="hybridMultilevel"/>
    <w:tmpl w:val="4F9202F8"/>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4"/>
  </w:num>
  <w:num w:numId="14">
    <w:abstractNumId w:val="11"/>
  </w:num>
  <w:num w:numId="15">
    <w:abstractNumId w:val="16"/>
  </w:num>
  <w:num w:numId="16">
    <w:abstractNumId w:val="19"/>
  </w:num>
  <w:num w:numId="17">
    <w:abstractNumId w:val="20"/>
  </w:num>
  <w:num w:numId="18">
    <w:abstractNumId w:val="17"/>
  </w:num>
  <w:num w:numId="19">
    <w:abstractNumId w:val="10"/>
  </w:num>
  <w:num w:numId="20">
    <w:abstractNumId w:val="21"/>
  </w:num>
  <w:num w:numId="21">
    <w:abstractNumId w:val="23"/>
  </w:num>
  <w:num w:numId="22">
    <w:abstractNumId w:val="18"/>
  </w:num>
  <w:num w:numId="23">
    <w:abstractNumId w:val="22"/>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Healthwatch"/>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D5D"/>
    <w:rsid w:val="00022AA6"/>
    <w:rsid w:val="00024DEA"/>
    <w:rsid w:val="00065C2D"/>
    <w:rsid w:val="000A3B91"/>
    <w:rsid w:val="000C3FE9"/>
    <w:rsid w:val="00101DBD"/>
    <w:rsid w:val="0010363F"/>
    <w:rsid w:val="0011463D"/>
    <w:rsid w:val="00155F06"/>
    <w:rsid w:val="0016177D"/>
    <w:rsid w:val="00182E84"/>
    <w:rsid w:val="001A7ACA"/>
    <w:rsid w:val="001B3C6B"/>
    <w:rsid w:val="001D6F7F"/>
    <w:rsid w:val="0021355F"/>
    <w:rsid w:val="00266A18"/>
    <w:rsid w:val="00270A52"/>
    <w:rsid w:val="0027454A"/>
    <w:rsid w:val="0029203D"/>
    <w:rsid w:val="002C4E36"/>
    <w:rsid w:val="00315A83"/>
    <w:rsid w:val="003472B2"/>
    <w:rsid w:val="003642B6"/>
    <w:rsid w:val="0038523A"/>
    <w:rsid w:val="003D5E80"/>
    <w:rsid w:val="003E4087"/>
    <w:rsid w:val="00406D4B"/>
    <w:rsid w:val="0042330C"/>
    <w:rsid w:val="00426CF4"/>
    <w:rsid w:val="0044339E"/>
    <w:rsid w:val="00475423"/>
    <w:rsid w:val="0047782F"/>
    <w:rsid w:val="00486669"/>
    <w:rsid w:val="00487340"/>
    <w:rsid w:val="004A049E"/>
    <w:rsid w:val="004D5791"/>
    <w:rsid w:val="00500103"/>
    <w:rsid w:val="005011D0"/>
    <w:rsid w:val="00511B0B"/>
    <w:rsid w:val="005332A2"/>
    <w:rsid w:val="00536BA7"/>
    <w:rsid w:val="00540FA4"/>
    <w:rsid w:val="0055472A"/>
    <w:rsid w:val="00561245"/>
    <w:rsid w:val="00573FE9"/>
    <w:rsid w:val="005A3306"/>
    <w:rsid w:val="005E0E19"/>
    <w:rsid w:val="005F033A"/>
    <w:rsid w:val="0061360E"/>
    <w:rsid w:val="006219F2"/>
    <w:rsid w:val="006255CF"/>
    <w:rsid w:val="00646283"/>
    <w:rsid w:val="006545D7"/>
    <w:rsid w:val="006B0070"/>
    <w:rsid w:val="006B61D8"/>
    <w:rsid w:val="006C136B"/>
    <w:rsid w:val="00754948"/>
    <w:rsid w:val="00771F9D"/>
    <w:rsid w:val="00793929"/>
    <w:rsid w:val="00801D5D"/>
    <w:rsid w:val="00831D89"/>
    <w:rsid w:val="00832D22"/>
    <w:rsid w:val="008659D2"/>
    <w:rsid w:val="008B7996"/>
    <w:rsid w:val="00983D92"/>
    <w:rsid w:val="009847BE"/>
    <w:rsid w:val="00986CA2"/>
    <w:rsid w:val="009A47E8"/>
    <w:rsid w:val="009D528C"/>
    <w:rsid w:val="009F142F"/>
    <w:rsid w:val="00A061E9"/>
    <w:rsid w:val="00A22EFA"/>
    <w:rsid w:val="00A44B4E"/>
    <w:rsid w:val="00A46C41"/>
    <w:rsid w:val="00A62988"/>
    <w:rsid w:val="00A73C7B"/>
    <w:rsid w:val="00A95FA6"/>
    <w:rsid w:val="00AD7BCF"/>
    <w:rsid w:val="00AE6712"/>
    <w:rsid w:val="00AF3E17"/>
    <w:rsid w:val="00B055F3"/>
    <w:rsid w:val="00B113E9"/>
    <w:rsid w:val="00B60C1E"/>
    <w:rsid w:val="00B61D82"/>
    <w:rsid w:val="00BD15F3"/>
    <w:rsid w:val="00BE4E81"/>
    <w:rsid w:val="00BF4317"/>
    <w:rsid w:val="00BF5F0B"/>
    <w:rsid w:val="00C05716"/>
    <w:rsid w:val="00C1557C"/>
    <w:rsid w:val="00C15972"/>
    <w:rsid w:val="00C16FDB"/>
    <w:rsid w:val="00C3552B"/>
    <w:rsid w:val="00C37E71"/>
    <w:rsid w:val="00C44425"/>
    <w:rsid w:val="00C51BAE"/>
    <w:rsid w:val="00C66840"/>
    <w:rsid w:val="00C8781C"/>
    <w:rsid w:val="00CA0348"/>
    <w:rsid w:val="00CA34F3"/>
    <w:rsid w:val="00CA3B2D"/>
    <w:rsid w:val="00CB16DE"/>
    <w:rsid w:val="00CD5ABF"/>
    <w:rsid w:val="00CD646C"/>
    <w:rsid w:val="00CE2D1F"/>
    <w:rsid w:val="00D01134"/>
    <w:rsid w:val="00D03B61"/>
    <w:rsid w:val="00D05127"/>
    <w:rsid w:val="00D42987"/>
    <w:rsid w:val="00D54DDB"/>
    <w:rsid w:val="00D574E7"/>
    <w:rsid w:val="00D67AF6"/>
    <w:rsid w:val="00D73F48"/>
    <w:rsid w:val="00D81781"/>
    <w:rsid w:val="00D9206F"/>
    <w:rsid w:val="00DC2C72"/>
    <w:rsid w:val="00DF13B8"/>
    <w:rsid w:val="00E37437"/>
    <w:rsid w:val="00E506AE"/>
    <w:rsid w:val="00E53704"/>
    <w:rsid w:val="00E54F38"/>
    <w:rsid w:val="00E752C7"/>
    <w:rsid w:val="00E76B04"/>
    <w:rsid w:val="00E92056"/>
    <w:rsid w:val="00EB4FF5"/>
    <w:rsid w:val="00F1125F"/>
    <w:rsid w:val="00F2223B"/>
    <w:rsid w:val="00F5389C"/>
    <w:rsid w:val="00F7100D"/>
    <w:rsid w:val="00F8541E"/>
    <w:rsid w:val="00FC4664"/>
    <w:rsid w:val="00FD4F63"/>
    <w:rsid w:val="00FD5C07"/>
    <w:rsid w:val="00FF3E76"/>
    <w:rsid w:val="0EE63E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647AE02"/>
  <w15:chartTrackingRefBased/>
  <w15:docId w15:val="{D0368908-3859-4127-93A5-8FE87E0A1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3B61"/>
    <w:rPr>
      <w:color w:val="004C6A" w:themeColor="text2"/>
    </w:rPr>
  </w:style>
  <w:style w:type="paragraph" w:styleId="Heading1">
    <w:name w:val="heading 1"/>
    <w:basedOn w:val="Normal"/>
    <w:next w:val="Normal"/>
    <w:link w:val="Heading1Char"/>
    <w:uiPriority w:val="9"/>
    <w:qFormat/>
    <w:rsid w:val="00FF3E76"/>
    <w:pPr>
      <w:spacing w:after="120" w:line="288" w:lineRule="auto"/>
      <w:outlineLvl w:val="0"/>
    </w:pPr>
    <w:rPr>
      <w:b/>
      <w:color w:val="FFFFFF" w:themeColor="background1"/>
      <w:sz w:val="40"/>
      <w:szCs w:val="40"/>
      <w:bdr w:val="single" w:sz="12" w:space="0" w:color="DB3B8E" w:themeColor="accent2"/>
      <w:shd w:val="clear" w:color="auto" w:fill="DB3B8E" w:themeFill="accent2"/>
    </w:rPr>
  </w:style>
  <w:style w:type="paragraph" w:styleId="Heading2">
    <w:name w:val="heading 2"/>
    <w:basedOn w:val="Normal"/>
    <w:next w:val="Normal"/>
    <w:link w:val="Heading2Char"/>
    <w:uiPriority w:val="9"/>
    <w:unhideWhenUsed/>
    <w:qFormat/>
    <w:rsid w:val="00801D5D"/>
    <w:pPr>
      <w:spacing w:after="240" w:line="240" w:lineRule="auto"/>
      <w:outlineLvl w:val="1"/>
    </w:pPr>
    <w:rPr>
      <w:b/>
      <w:sz w:val="28"/>
      <w:szCs w:val="28"/>
    </w:rPr>
  </w:style>
  <w:style w:type="paragraph" w:styleId="Heading3">
    <w:name w:val="heading 3"/>
    <w:basedOn w:val="Normal"/>
    <w:next w:val="Normal"/>
    <w:link w:val="Heading3Char"/>
    <w:uiPriority w:val="9"/>
    <w:unhideWhenUsed/>
    <w:qFormat/>
    <w:rsid w:val="00801D5D"/>
    <w:pPr>
      <w:spacing w:after="120" w:line="240" w:lineRule="auto"/>
      <w:outlineLvl w:val="2"/>
    </w:pPr>
    <w:rPr>
      <w:color w:val="009CD0"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1D5D"/>
    <w:pPr>
      <w:ind w:left="720"/>
      <w:contextualSpacing/>
    </w:pPr>
  </w:style>
  <w:style w:type="character" w:customStyle="1" w:styleId="Heading1Char">
    <w:name w:val="Heading 1 Char"/>
    <w:basedOn w:val="DefaultParagraphFont"/>
    <w:link w:val="Heading1"/>
    <w:uiPriority w:val="9"/>
    <w:rsid w:val="00FF3E76"/>
    <w:rPr>
      <w:b/>
      <w:color w:val="FFFFFF" w:themeColor="background1"/>
      <w:sz w:val="40"/>
      <w:szCs w:val="40"/>
      <w:bdr w:val="single" w:sz="12" w:space="0" w:color="DB3B8E" w:themeColor="accent2"/>
    </w:rPr>
  </w:style>
  <w:style w:type="character" w:customStyle="1" w:styleId="Heading2Char">
    <w:name w:val="Heading 2 Char"/>
    <w:basedOn w:val="DefaultParagraphFont"/>
    <w:link w:val="Heading2"/>
    <w:uiPriority w:val="9"/>
    <w:rsid w:val="00801D5D"/>
    <w:rPr>
      <w:b/>
      <w:color w:val="004C6A" w:themeColor="text2"/>
      <w:sz w:val="28"/>
      <w:szCs w:val="28"/>
    </w:rPr>
  </w:style>
  <w:style w:type="character" w:customStyle="1" w:styleId="Heading3Char">
    <w:name w:val="Heading 3 Char"/>
    <w:basedOn w:val="DefaultParagraphFont"/>
    <w:link w:val="Heading3"/>
    <w:uiPriority w:val="9"/>
    <w:rsid w:val="00801D5D"/>
    <w:rPr>
      <w:color w:val="009CD0" w:themeColor="accent1"/>
      <w:sz w:val="26"/>
      <w:szCs w:val="26"/>
    </w:rPr>
  </w:style>
  <w:style w:type="paragraph" w:styleId="BodyText">
    <w:name w:val="Body Text"/>
    <w:basedOn w:val="Normal"/>
    <w:link w:val="BodyTextChar"/>
    <w:uiPriority w:val="99"/>
    <w:unhideWhenUsed/>
    <w:rsid w:val="00801D5D"/>
    <w:pPr>
      <w:spacing w:line="240" w:lineRule="auto"/>
    </w:pPr>
  </w:style>
  <w:style w:type="character" w:customStyle="1" w:styleId="BodyTextChar">
    <w:name w:val="Body Text Char"/>
    <w:basedOn w:val="DefaultParagraphFont"/>
    <w:link w:val="BodyText"/>
    <w:uiPriority w:val="99"/>
    <w:rsid w:val="00801D5D"/>
    <w:rPr>
      <w:color w:val="004C6A" w:themeColor="text2"/>
    </w:rPr>
  </w:style>
  <w:style w:type="paragraph" w:customStyle="1" w:styleId="Bullet">
    <w:name w:val="Bullet"/>
    <w:basedOn w:val="ListParagraph"/>
    <w:qFormat/>
    <w:rsid w:val="0029203D"/>
    <w:pPr>
      <w:numPr>
        <w:numId w:val="1"/>
      </w:numPr>
      <w:spacing w:line="240" w:lineRule="auto"/>
      <w:contextualSpacing w:val="0"/>
    </w:pPr>
  </w:style>
  <w:style w:type="paragraph" w:styleId="Header">
    <w:name w:val="header"/>
    <w:basedOn w:val="Normal"/>
    <w:link w:val="HeaderChar"/>
    <w:uiPriority w:val="99"/>
    <w:unhideWhenUsed/>
    <w:rsid w:val="002920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203D"/>
    <w:rPr>
      <w:color w:val="004C6A" w:themeColor="text2"/>
    </w:rPr>
  </w:style>
  <w:style w:type="paragraph" w:styleId="Footer">
    <w:name w:val="footer"/>
    <w:basedOn w:val="Normal"/>
    <w:link w:val="FooterChar"/>
    <w:uiPriority w:val="99"/>
    <w:unhideWhenUsed/>
    <w:rsid w:val="002920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203D"/>
    <w:rPr>
      <w:color w:val="004C6A" w:themeColor="text2"/>
    </w:rPr>
  </w:style>
  <w:style w:type="table" w:styleId="TableGrid">
    <w:name w:val="Table Grid"/>
    <w:basedOn w:val="TableNormal"/>
    <w:uiPriority w:val="39"/>
    <w:rsid w:val="002920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qFormat/>
    <w:rsid w:val="003D5E80"/>
    <w:pPr>
      <w:pBdr>
        <w:top w:val="single" w:sz="12" w:space="4" w:color="8ABE23" w:themeColor="accent3"/>
        <w:left w:val="single" w:sz="36" w:space="0" w:color="E8F6CE" w:themeColor="accent3" w:themeTint="33"/>
        <w:bottom w:val="single" w:sz="18" w:space="1" w:color="E8F6CE" w:themeColor="accent3" w:themeTint="33"/>
        <w:right w:val="single" w:sz="18" w:space="4" w:color="E8F6CE" w:themeColor="accent3" w:themeTint="33"/>
      </w:pBdr>
      <w:shd w:val="clear" w:color="auto" w:fill="E8F6CE" w:themeFill="accent3" w:themeFillTint="33"/>
      <w:spacing w:before="360" w:after="0" w:line="240" w:lineRule="auto"/>
    </w:pPr>
    <w:rPr>
      <w:sz w:val="28"/>
      <w:szCs w:val="28"/>
    </w:rPr>
  </w:style>
  <w:style w:type="character" w:customStyle="1" w:styleId="QuoteChar">
    <w:name w:val="Quote Char"/>
    <w:basedOn w:val="DefaultParagraphFont"/>
    <w:link w:val="Quote"/>
    <w:uiPriority w:val="29"/>
    <w:rsid w:val="003D5E80"/>
    <w:rPr>
      <w:color w:val="004C6A" w:themeColor="text2"/>
      <w:sz w:val="28"/>
      <w:szCs w:val="28"/>
      <w:shd w:val="clear" w:color="auto" w:fill="E8F6CE" w:themeFill="accent3" w:themeFillTint="33"/>
    </w:rPr>
  </w:style>
  <w:style w:type="paragraph" w:customStyle="1" w:styleId="Quotesource">
    <w:name w:val="Quote source"/>
    <w:basedOn w:val="Normal"/>
    <w:qFormat/>
    <w:rsid w:val="003D5E80"/>
    <w:pPr>
      <w:pBdr>
        <w:top w:val="single" w:sz="12" w:space="1" w:color="E8F6CE" w:themeColor="accent3" w:themeTint="33"/>
        <w:left w:val="single" w:sz="12" w:space="4" w:color="E8F6CE" w:themeColor="accent3" w:themeTint="33"/>
        <w:bottom w:val="single" w:sz="36" w:space="1" w:color="E8F6CE" w:themeColor="accent3" w:themeTint="33"/>
        <w:right w:val="single" w:sz="12" w:space="4" w:color="E8F6CE" w:themeColor="accent3" w:themeTint="33"/>
      </w:pBdr>
      <w:shd w:val="clear" w:color="auto" w:fill="E8F6CE" w:themeFill="accent3" w:themeFillTint="33"/>
      <w:spacing w:after="360"/>
    </w:pPr>
    <w:rPr>
      <w:rFonts w:cs="Times New Roman (Body CS)"/>
      <w:color w:val="009CD0" w:themeColor="accent1"/>
    </w:rPr>
  </w:style>
  <w:style w:type="paragraph" w:styleId="FootnoteText">
    <w:name w:val="footnote text"/>
    <w:basedOn w:val="Normal"/>
    <w:link w:val="FootnoteTextChar"/>
    <w:uiPriority w:val="99"/>
    <w:semiHidden/>
    <w:unhideWhenUsed/>
    <w:rsid w:val="00182E84"/>
    <w:pPr>
      <w:spacing w:after="240" w:line="240" w:lineRule="auto"/>
    </w:pPr>
    <w:rPr>
      <w:sz w:val="20"/>
      <w:szCs w:val="20"/>
    </w:rPr>
  </w:style>
  <w:style w:type="character" w:customStyle="1" w:styleId="FootnoteTextChar">
    <w:name w:val="Footnote Text Char"/>
    <w:basedOn w:val="DefaultParagraphFont"/>
    <w:link w:val="FootnoteText"/>
    <w:uiPriority w:val="99"/>
    <w:semiHidden/>
    <w:rsid w:val="00182E84"/>
    <w:rPr>
      <w:color w:val="004C6A" w:themeColor="text2"/>
      <w:sz w:val="20"/>
      <w:szCs w:val="20"/>
    </w:rPr>
  </w:style>
  <w:style w:type="character" w:styleId="FootnoteReference">
    <w:name w:val="footnote reference"/>
    <w:basedOn w:val="DefaultParagraphFont"/>
    <w:uiPriority w:val="99"/>
    <w:semiHidden/>
    <w:unhideWhenUsed/>
    <w:rsid w:val="00182E84"/>
    <w:rPr>
      <w:vertAlign w:val="superscript"/>
    </w:rPr>
  </w:style>
  <w:style w:type="character" w:styleId="Hyperlink">
    <w:name w:val="Hyperlink"/>
    <w:basedOn w:val="DefaultParagraphFont"/>
    <w:uiPriority w:val="99"/>
    <w:unhideWhenUsed/>
    <w:rsid w:val="00182E84"/>
    <w:rPr>
      <w:color w:val="DB3B8E" w:themeColor="hyperlink"/>
      <w:u w:val="single"/>
    </w:rPr>
  </w:style>
  <w:style w:type="character" w:styleId="UnresolvedMention">
    <w:name w:val="Unresolved Mention"/>
    <w:basedOn w:val="DefaultParagraphFont"/>
    <w:uiPriority w:val="99"/>
    <w:semiHidden/>
    <w:unhideWhenUsed/>
    <w:rsid w:val="00182E84"/>
    <w:rPr>
      <w:color w:val="605E5C"/>
      <w:shd w:val="clear" w:color="auto" w:fill="E1DFDD"/>
    </w:rPr>
  </w:style>
  <w:style w:type="paragraph" w:customStyle="1" w:styleId="line">
    <w:name w:val="line"/>
    <w:basedOn w:val="Normal"/>
    <w:qFormat/>
    <w:rsid w:val="00A22EFA"/>
    <w:pPr>
      <w:pBdr>
        <w:bottom w:val="single" w:sz="4" w:space="1" w:color="FFFFFF" w:themeColor="background1"/>
      </w:pBdr>
    </w:pPr>
  </w:style>
  <w:style w:type="character" w:styleId="IntenseEmphasis">
    <w:name w:val="Intense Emphasis"/>
    <w:basedOn w:val="DefaultParagraphFont"/>
    <w:uiPriority w:val="21"/>
    <w:qFormat/>
    <w:rsid w:val="00CD5ABF"/>
    <w:rPr>
      <w:i/>
      <w:iCs/>
      <w:color w:val="009CD0" w:themeColor="accent1"/>
    </w:rPr>
  </w:style>
  <w:style w:type="paragraph" w:customStyle="1" w:styleId="CaseStudy">
    <w:name w:val="Case Study"/>
    <w:basedOn w:val="Normal"/>
    <w:qFormat/>
    <w:rsid w:val="00EB4FF5"/>
    <w:pPr>
      <w:pBdr>
        <w:top w:val="single" w:sz="12" w:space="4" w:color="8ABE23" w:themeColor="accent3"/>
      </w:pBdr>
    </w:pPr>
  </w:style>
  <w:style w:type="table" w:styleId="TableGridLight">
    <w:name w:val="Grid Table Light"/>
    <w:basedOn w:val="TableNormal"/>
    <w:uiPriority w:val="40"/>
    <w:rsid w:val="003472B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Healthwatch">
    <w:name w:val="Healthwatch"/>
    <w:basedOn w:val="TableGridLight"/>
    <w:uiPriority w:val="99"/>
    <w:rsid w:val="00F2223B"/>
    <w:pPr>
      <w:spacing w:before="100" w:after="100"/>
    </w:pPr>
    <w:rPr>
      <w:color w:val="FFFFFF" w:themeColor="background1"/>
    </w:rPr>
    <w:tblPr>
      <w:tblStyleRow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blStylePr w:type="firstRow">
      <w:rPr>
        <w:rFonts w:asciiTheme="majorHAnsi" w:hAnsiTheme="majorHAnsi"/>
        <w:b/>
        <w:color w:val="FFFFFF" w:themeColor="background2"/>
      </w:rPr>
      <w:tblPr/>
      <w:tcPr>
        <w:shd w:val="clear" w:color="auto" w:fill="DB3B8E" w:themeFill="accent2"/>
      </w:tcPr>
    </w:tblStylePr>
    <w:tblStylePr w:type="lastRow">
      <w:tblPr/>
      <w:tcPr>
        <w:shd w:val="clear" w:color="auto" w:fill="DEEAF6" w:themeFill="accent5" w:themeFillTint="33"/>
      </w:tcPr>
    </w:tblStylePr>
    <w:tblStylePr w:type="band1Horz">
      <w:rPr>
        <w:rFonts w:asciiTheme="majorHAnsi" w:hAnsiTheme="majorHAnsi"/>
        <w:color w:val="004C6A" w:themeColor="text2"/>
      </w:rPr>
      <w:tblPr/>
      <w:tcPr>
        <w:shd w:val="clear" w:color="auto" w:fill="BDD6EE" w:themeFill="accent5" w:themeFillTint="66"/>
      </w:tcPr>
    </w:tblStylePr>
    <w:tblStylePr w:type="band2Horz">
      <w:rPr>
        <w:rFonts w:asciiTheme="majorHAnsi" w:hAnsiTheme="majorHAnsi"/>
        <w:color w:val="004C6A" w:themeColor="text2"/>
      </w:rPr>
      <w:tblPr/>
      <w:tcPr>
        <w:shd w:val="clear" w:color="auto" w:fill="BDD6EE" w:themeFill="accent5" w:themeFillTint="66"/>
      </w:tcPr>
    </w:tblStylePr>
  </w:style>
  <w:style w:type="paragraph" w:styleId="BalloonText">
    <w:name w:val="Balloon Text"/>
    <w:basedOn w:val="Normal"/>
    <w:link w:val="BalloonTextChar"/>
    <w:uiPriority w:val="99"/>
    <w:semiHidden/>
    <w:unhideWhenUsed/>
    <w:rsid w:val="005001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0103"/>
    <w:rPr>
      <w:rFonts w:ascii="Segoe UI" w:hAnsi="Segoe UI" w:cs="Segoe UI"/>
      <w:color w:val="004C6A" w:themeColor="text2"/>
      <w:sz w:val="18"/>
      <w:szCs w:val="18"/>
    </w:rPr>
  </w:style>
  <w:style w:type="paragraph" w:customStyle="1" w:styleId="Default">
    <w:name w:val="Default"/>
    <w:rsid w:val="00F5389C"/>
    <w:pPr>
      <w:autoSpaceDE w:val="0"/>
      <w:autoSpaceDN w:val="0"/>
      <w:adjustRightInd w:val="0"/>
      <w:spacing w:after="0" w:line="240" w:lineRule="auto"/>
    </w:pPr>
    <w:rPr>
      <w:rFonts w:ascii="Trebuchet MS" w:hAnsi="Trebuchet MS" w:cs="Trebuchet MS"/>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healthwatch.co.uk/help-making-complain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Healthwatch">
      <a:dk1>
        <a:sysClr val="windowText" lastClr="000000"/>
      </a:dk1>
      <a:lt1>
        <a:sysClr val="window" lastClr="FFFFFF"/>
      </a:lt1>
      <a:dk2>
        <a:srgbClr val="004C6A"/>
      </a:dk2>
      <a:lt2>
        <a:srgbClr val="FFFFFF"/>
      </a:lt2>
      <a:accent1>
        <a:srgbClr val="009CD0"/>
      </a:accent1>
      <a:accent2>
        <a:srgbClr val="DB3B8E"/>
      </a:accent2>
      <a:accent3>
        <a:srgbClr val="8ABE23"/>
      </a:accent3>
      <a:accent4>
        <a:srgbClr val="009F98"/>
      </a:accent4>
      <a:accent5>
        <a:srgbClr val="5B9BD5"/>
      </a:accent5>
      <a:accent6>
        <a:srgbClr val="70AD47"/>
      </a:accent6>
      <a:hlink>
        <a:srgbClr val="DB3B8E"/>
      </a:hlink>
      <a:folHlink>
        <a:srgbClr val="009CD0"/>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80EA4E9A0D10A4B86B174D08978D5EB" ma:contentTypeVersion="12" ma:contentTypeDescription="Create a new document." ma:contentTypeScope="" ma:versionID="e91dfc623a07f5349bbb1308e981f137">
  <xsd:schema xmlns:xsd="http://www.w3.org/2001/XMLSchema" xmlns:xs="http://www.w3.org/2001/XMLSchema" xmlns:p="http://schemas.microsoft.com/office/2006/metadata/properties" xmlns:ns2="c497441b-d3fe-4788-8629-aff52d38f515" xmlns:ns3="1d162527-c308-4a98-98b8-9e726c57dd8b" targetNamespace="http://schemas.microsoft.com/office/2006/metadata/properties" ma:root="true" ma:fieldsID="70cfb65f7d0c448587481a6d85a6fafd" ns2:_="" ns3:_="">
    <xsd:import namespace="c497441b-d3fe-4788-8629-aff52d38f515"/>
    <xsd:import namespace="1d162527-c308-4a98-98b8-9e726c57dd8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97441b-d3fe-4788-8629-aff52d38f5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162527-c308-4a98-98b8-9e726c57dd8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2D4DA2-E90D-4D4C-8C8A-7F60AC77372B}">
  <ds:schemaRefs>
    <ds:schemaRef ds:uri="http://schemas.microsoft.com/sharepoint/v3/contenttype/forms"/>
  </ds:schemaRefs>
</ds:datastoreItem>
</file>

<file path=customXml/itemProps2.xml><?xml version="1.0" encoding="utf-8"?>
<ds:datastoreItem xmlns:ds="http://schemas.openxmlformats.org/officeDocument/2006/customXml" ds:itemID="{E6FAB279-A6F1-4675-A773-E8A341AFDD68}">
  <ds:schemaRefs>
    <ds:schemaRef ds:uri="http://purl.org/dc/dcmitype/"/>
    <ds:schemaRef ds:uri="http://schemas.microsoft.com/office/2006/documentManagement/types"/>
    <ds:schemaRef ds:uri="http://schemas.microsoft.com/office/2006/metadata/properties"/>
    <ds:schemaRef ds:uri="1d162527-c308-4a98-98b8-9e726c57dd8b"/>
    <ds:schemaRef ds:uri="c497441b-d3fe-4788-8629-aff52d38f515"/>
    <ds:schemaRef ds:uri="http://schemas.microsoft.com/office/infopath/2007/PartnerControls"/>
    <ds:schemaRef ds:uri="http://purl.org/dc/terms/"/>
    <ds:schemaRef ds:uri="http://purl.org/dc/elements/1.1/"/>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8A0585DC-C662-42F8-B5F2-9F9FCABC67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97441b-d3fe-4788-8629-aff52d38f515"/>
    <ds:schemaRef ds:uri="1d162527-c308-4a98-98b8-9e726c57dd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828826E-9FAD-477E-B3EB-12C870BB3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1000</Words>
  <Characters>5702</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Doyle</dc:creator>
  <cp:keywords/>
  <dc:description/>
  <cp:lastModifiedBy>James, Deborah</cp:lastModifiedBy>
  <cp:revision>2</cp:revision>
  <dcterms:created xsi:type="dcterms:W3CDTF">2021-05-07T13:09:00Z</dcterms:created>
  <dcterms:modified xsi:type="dcterms:W3CDTF">2021-05-07T13:09:00Z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0x010100480EA4E9A0D10A4B86B174D08978D5EB</vt:lpwstr>
  </property>
  <property fmtid="{D5CDD505-2E9C-101B-9397-08002B2CF9AE}" pid="3" name="Order">
    <vt:r8>100</vt:r8>
  </property>
</Properties>
</file>