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horzAnchor="margin" w:tblpY="-4572"/>
        <w:tblW w:w="10204" w:type="dxa"/>
        <w:tblInd w:w="0" w:type="dxa"/>
        <w:tblCellMar>
          <w:top w:w="0" w:type="dxa"/>
        </w:tblCellMar>
        <w:tblLook w:val="0600" w:firstRow="0" w:lastRow="0" w:firstColumn="0" w:lastColumn="0" w:noHBand="1" w:noVBand="1"/>
      </w:tblPr>
      <w:tblGrid>
        <w:gridCol w:w="5882"/>
        <w:gridCol w:w="4322"/>
      </w:tblGrid>
      <w:tr w:rsidR="00683D65" w:rsidRPr="00683D65" w14:paraId="45AE86EE" w14:textId="77777777" w:rsidTr="00683D65">
        <w:trPr>
          <w:cantSplit/>
          <w:trHeight w:hRule="exact" w:val="11123"/>
        </w:trPr>
        <w:tc>
          <w:tcPr>
            <w:tcW w:w="10160" w:type="dxa"/>
            <w:gridSpan w:val="2"/>
          </w:tcPr>
          <w:p w14:paraId="455AA209" w14:textId="059B85D6" w:rsidR="00683D65" w:rsidRPr="00683D65" w:rsidRDefault="00683D65" w:rsidP="00ED03A5">
            <w:pPr>
              <w:spacing w:before="2640"/>
              <w:contextualSpacing/>
              <w:rPr>
                <w:rFonts w:ascii="Poppins" w:eastAsia="Poppins" w:hAnsi="Poppins"/>
                <w:b/>
                <w:color w:val="004C6B"/>
                <w:sz w:val="180"/>
                <w:szCs w:val="144"/>
              </w:rPr>
            </w:pPr>
            <w:bookmarkStart w:id="0" w:name="HW_title"/>
            <w:r w:rsidRPr="00683D65">
              <w:rPr>
                <w:rFonts w:ascii="Poppins" w:eastAsia="Poppins" w:hAnsi="Poppins"/>
                <w:b/>
                <w:color w:val="004C6B"/>
                <w:sz w:val="96"/>
                <w:szCs w:val="72"/>
              </w:rPr>
              <w:t xml:space="preserve">Healthwatch </w:t>
            </w:r>
            <w:bookmarkEnd w:id="0"/>
            <w:r w:rsidR="00ED03A5">
              <w:rPr>
                <w:rFonts w:ascii="Poppins" w:eastAsia="Poppins" w:hAnsi="Poppins"/>
                <w:b/>
                <w:color w:val="004C6B"/>
                <w:sz w:val="96"/>
                <w:szCs w:val="72"/>
              </w:rPr>
              <w:t>Outcome Domains</w:t>
            </w:r>
          </w:p>
          <w:p w14:paraId="117BE908" w14:textId="679E672B" w:rsidR="00683D65" w:rsidRDefault="009A1051" w:rsidP="00683D65">
            <w:pPr>
              <w:spacing w:before="120" w:after="120" w:line="600" w:lineRule="exact"/>
              <w:rPr>
                <w:rFonts w:eastAsia="Poppins"/>
                <w:color w:val="004C6B"/>
                <w:sz w:val="56"/>
              </w:rPr>
            </w:pPr>
            <w:r>
              <w:rPr>
                <w:rFonts w:eastAsia="Poppins"/>
                <w:color w:val="004C6B"/>
                <w:sz w:val="56"/>
              </w:rPr>
              <w:t>For development and discussion</w:t>
            </w:r>
          </w:p>
          <w:p w14:paraId="0C89A10B" w14:textId="780479FB" w:rsidR="004D6D3D" w:rsidRDefault="004D6D3D" w:rsidP="00683D65">
            <w:pPr>
              <w:spacing w:before="120" w:after="120" w:line="600" w:lineRule="exact"/>
              <w:rPr>
                <w:rFonts w:eastAsia="Poppins"/>
                <w:color w:val="004C6B"/>
                <w:sz w:val="56"/>
              </w:rPr>
            </w:pPr>
          </w:p>
          <w:p w14:paraId="41070744" w14:textId="0AB3368F" w:rsidR="004D6D3D" w:rsidRPr="00683D65" w:rsidRDefault="00163E1E" w:rsidP="00163E1E">
            <w:pPr>
              <w:spacing w:before="120" w:after="120" w:line="600" w:lineRule="exact"/>
              <w:rPr>
                <w:rFonts w:eastAsia="Poppins"/>
                <w:color w:val="004C6B"/>
                <w:sz w:val="56"/>
              </w:rPr>
            </w:pPr>
            <w:r w:rsidRPr="00163E1E">
              <w:rPr>
                <w:rFonts w:eastAsia="Poppins"/>
                <w:color w:val="004C6B"/>
                <w:sz w:val="48"/>
                <w:szCs w:val="16"/>
              </w:rPr>
              <w:t>November 2024</w:t>
            </w:r>
          </w:p>
        </w:tc>
      </w:tr>
      <w:tr w:rsidR="00683D65" w:rsidRPr="00683D65" w14:paraId="3A61ED55" w14:textId="77777777" w:rsidTr="00683D65">
        <w:trPr>
          <w:gridAfter w:val="1"/>
          <w:wAfter w:w="4289" w:type="dxa"/>
          <w:cantSplit/>
          <w:trHeight w:hRule="exact" w:val="75"/>
        </w:trPr>
        <w:tc>
          <w:tcPr>
            <w:tcW w:w="5849" w:type="dxa"/>
          </w:tcPr>
          <w:p w14:paraId="537B4063" w14:textId="1BC6745D" w:rsidR="00683D65" w:rsidRPr="00683D65" w:rsidRDefault="00683D65" w:rsidP="00683D65">
            <w:pPr>
              <w:spacing w:before="120" w:after="120" w:line="600" w:lineRule="exact"/>
              <w:rPr>
                <w:rFonts w:eastAsia="Poppins"/>
                <w:color w:val="004C6B"/>
                <w:sz w:val="56"/>
              </w:rPr>
            </w:pPr>
            <w:r w:rsidRPr="00683D65">
              <w:rPr>
                <w:rFonts w:eastAsia="Poppins"/>
                <w:noProof/>
                <w:color w:val="004C6B"/>
                <w:sz w:val="56"/>
                <w:lang w:eastAsia="en-GB"/>
              </w:rPr>
              <w:drawing>
                <wp:anchor distT="0" distB="0" distL="114300" distR="114300" simplePos="0" relativeHeight="251658242" behindDoc="0" locked="1" layoutInCell="1" allowOverlap="1" wp14:anchorId="59DAA7C6" wp14:editId="3463453A">
                  <wp:simplePos x="0" y="0"/>
                  <wp:positionH relativeFrom="margin">
                    <wp:posOffset>3591560</wp:posOffset>
                  </wp:positionH>
                  <wp:positionV relativeFrom="page">
                    <wp:posOffset>3964305</wp:posOffset>
                  </wp:positionV>
                  <wp:extent cx="3333750" cy="913130"/>
                  <wp:effectExtent l="0" t="0" r="0" b="0"/>
                  <wp:wrapNone/>
                  <wp:docPr id="19" name="Picture 19" descr="Healthwatch-logo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watch-logo_RGB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716153" w14:textId="6BF9C243" w:rsidR="00B95E57" w:rsidRDefault="00163E1E">
      <w:pPr>
        <w:rPr>
          <w:rFonts w:ascii="Century Gothic" w:hAnsi="Century Gothic"/>
          <w:b/>
          <w:bCs/>
          <w:sz w:val="28"/>
          <w:szCs w:val="28"/>
        </w:rPr>
        <w:sectPr w:rsidR="00B95E57" w:rsidSect="00DC365E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63E1E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0" allowOverlap="1" wp14:anchorId="2025D271" wp14:editId="780AF7BD">
            <wp:simplePos x="0" y="0"/>
            <wp:positionH relativeFrom="page">
              <wp:align>left</wp:align>
            </wp:positionH>
            <wp:positionV relativeFrom="page">
              <wp:posOffset>3978275</wp:posOffset>
            </wp:positionV>
            <wp:extent cx="7562850" cy="6697683"/>
            <wp:effectExtent l="0" t="0" r="0" b="8255"/>
            <wp:wrapNone/>
            <wp:docPr id="6" name="Picture 6" descr="P1031 HWE Brand project - Report template_V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1 HWE Brand project - Report template_V2_1.jpg"/>
                    <pic:cNvPicPr/>
                  </pic:nvPicPr>
                  <pic:blipFill rotWithShape="1">
                    <a:blip r:embed="rId14" cstate="print"/>
                    <a:srcRect l="-157" t="37385" r="157"/>
                    <a:stretch/>
                  </pic:blipFill>
                  <pic:spPr bwMode="auto">
                    <a:xfrm flipH="1">
                      <a:off x="0" y="0"/>
                      <a:ext cx="7562850" cy="6697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D03A5" w:rsidRPr="00D95CF1">
        <w:rPr>
          <w:noProof/>
          <w:lang w:eastAsia="en-GB"/>
        </w:rPr>
        <w:drawing>
          <wp:anchor distT="0" distB="0" distL="114300" distR="114300" simplePos="0" relativeHeight="251658243" behindDoc="0" locked="1" layoutInCell="1" allowOverlap="1" wp14:anchorId="5CCA4E68" wp14:editId="564326C3">
            <wp:simplePos x="0" y="0"/>
            <wp:positionH relativeFrom="margin">
              <wp:posOffset>2885440</wp:posOffset>
            </wp:positionH>
            <wp:positionV relativeFrom="page">
              <wp:posOffset>9458960</wp:posOffset>
            </wp:positionV>
            <wp:extent cx="3333750" cy="913130"/>
            <wp:effectExtent l="0" t="0" r="0" b="0"/>
            <wp:wrapNone/>
            <wp:docPr id="1667673566" name="Picture 1667673566" descr="Healthwatch-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watch-logo_RGB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935" w:rsidRPr="00380935">
        <w:rPr>
          <w:rFonts w:ascii="Poppins Light" w:eastAsia="Poppins" w:hAnsi="Poppins Light" w:cs="Times New Roman"/>
          <w:noProof/>
          <w:kern w:val="0"/>
          <w:sz w:val="180"/>
          <w:szCs w:val="144"/>
          <w14:ligatures w14:val="none"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1" wp14:anchorId="28FF121A" wp14:editId="1AEE1B43">
                <wp:simplePos x="0" y="0"/>
                <wp:positionH relativeFrom="page">
                  <wp:align>left</wp:align>
                </wp:positionH>
                <wp:positionV relativeFrom="margin">
                  <wp:posOffset>-878840</wp:posOffset>
                </wp:positionV>
                <wp:extent cx="7563485" cy="6981825"/>
                <wp:effectExtent l="0" t="0" r="0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3485" cy="6981825"/>
                        </a:xfrm>
                        <a:prstGeom prst="rect">
                          <a:avLst/>
                        </a:prstGeom>
                        <a:solidFill>
                          <a:srgbClr val="00B38C">
                            <a:lumMod val="100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2" style="position:absolute;margin-left:0;margin-top:-69.2pt;width:595.55pt;height:549.75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spid="_x0000_s1026" fillcolor="#00b38c" stroked="f" w14:anchorId="1B1B4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">
                <v:path arrowok="t"/>
                <w10:wrap anchorx="page" anchory="margin"/>
                <w10:anchorlock/>
              </v:rect>
            </w:pict>
          </mc:Fallback>
        </mc:AlternateContent>
      </w:r>
    </w:p>
    <w:p w14:paraId="42D8B7B6" w14:textId="77777777" w:rsidR="00784AB2" w:rsidRDefault="00784AB2" w:rsidP="00C95CA8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>Context</w:t>
      </w:r>
    </w:p>
    <w:p w14:paraId="719BBAEF" w14:textId="4E84A1CF" w:rsidR="00784AB2" w:rsidRPr="00784AB2" w:rsidRDefault="00647D6D" w:rsidP="00C95CA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</w:t>
      </w:r>
      <w:r w:rsidR="00860876">
        <w:rPr>
          <w:rFonts w:ascii="Century Gothic" w:hAnsi="Century Gothic"/>
          <w:sz w:val="22"/>
          <w:szCs w:val="22"/>
        </w:rPr>
        <w:t>e have</w:t>
      </w:r>
      <w:r>
        <w:rPr>
          <w:rFonts w:ascii="Century Gothic" w:hAnsi="Century Gothic"/>
          <w:sz w:val="22"/>
          <w:szCs w:val="22"/>
        </w:rPr>
        <w:t xml:space="preserve"> a </w:t>
      </w:r>
      <w:r w:rsidR="00A90177">
        <w:rPr>
          <w:rFonts w:ascii="Century Gothic" w:hAnsi="Century Gothic"/>
          <w:sz w:val="22"/>
          <w:szCs w:val="22"/>
        </w:rPr>
        <w:t xml:space="preserve">wide range of resources to </w:t>
      </w:r>
      <w:hyperlink r:id="rId15" w:history="1">
        <w:r w:rsidR="00A90177" w:rsidRPr="00D235F6">
          <w:rPr>
            <w:rStyle w:val="Hyperlink"/>
            <w:rFonts w:ascii="Century Gothic" w:hAnsi="Century Gothic"/>
            <w:sz w:val="22"/>
            <w:szCs w:val="22"/>
          </w:rPr>
          <w:t xml:space="preserve">support Healthwatch </w:t>
        </w:r>
        <w:r w:rsidR="00722635" w:rsidRPr="00D235F6">
          <w:rPr>
            <w:rStyle w:val="Hyperlink"/>
            <w:rFonts w:ascii="Century Gothic" w:hAnsi="Century Gothic"/>
            <w:sz w:val="22"/>
            <w:szCs w:val="22"/>
          </w:rPr>
          <w:t>with research projects</w:t>
        </w:r>
      </w:hyperlink>
      <w:r w:rsidR="00722635">
        <w:rPr>
          <w:rFonts w:ascii="Century Gothic" w:hAnsi="Century Gothic"/>
          <w:sz w:val="22"/>
          <w:szCs w:val="22"/>
        </w:rPr>
        <w:t xml:space="preserve"> </w:t>
      </w:r>
      <w:r w:rsidR="000E3202">
        <w:rPr>
          <w:rFonts w:ascii="Century Gothic" w:hAnsi="Century Gothic"/>
          <w:sz w:val="22"/>
          <w:szCs w:val="22"/>
        </w:rPr>
        <w:t>backed up by</w:t>
      </w:r>
      <w:r w:rsidR="00722635">
        <w:rPr>
          <w:rFonts w:ascii="Century Gothic" w:hAnsi="Century Gothic"/>
          <w:sz w:val="22"/>
          <w:szCs w:val="22"/>
        </w:rPr>
        <w:t xml:space="preserve"> </w:t>
      </w:r>
      <w:r w:rsidR="00D235F6">
        <w:rPr>
          <w:rFonts w:ascii="Century Gothic" w:hAnsi="Century Gothic"/>
          <w:sz w:val="22"/>
          <w:szCs w:val="22"/>
        </w:rPr>
        <w:t xml:space="preserve">a clear statement about </w:t>
      </w:r>
      <w:r w:rsidR="00860876">
        <w:rPr>
          <w:rFonts w:ascii="Century Gothic" w:hAnsi="Century Gothic"/>
          <w:sz w:val="22"/>
          <w:szCs w:val="22"/>
        </w:rPr>
        <w:t xml:space="preserve">our </w:t>
      </w:r>
      <w:hyperlink r:id="rId16" w:history="1">
        <w:r w:rsidR="00860876" w:rsidRPr="000E3202">
          <w:rPr>
            <w:rStyle w:val="Hyperlink"/>
            <w:rFonts w:ascii="Century Gothic" w:hAnsi="Century Gothic"/>
            <w:sz w:val="22"/>
            <w:szCs w:val="22"/>
          </w:rPr>
          <w:t>approach to evidence</w:t>
        </w:r>
      </w:hyperlink>
      <w:r w:rsidR="00860876">
        <w:rPr>
          <w:rFonts w:ascii="Century Gothic" w:hAnsi="Century Gothic"/>
          <w:sz w:val="22"/>
          <w:szCs w:val="22"/>
        </w:rPr>
        <w:t xml:space="preserve">. </w:t>
      </w:r>
      <w:r w:rsidR="005956C8">
        <w:rPr>
          <w:rFonts w:ascii="Century Gothic" w:hAnsi="Century Gothic"/>
          <w:sz w:val="22"/>
          <w:szCs w:val="22"/>
        </w:rPr>
        <w:t xml:space="preserve">Our existing </w:t>
      </w:r>
      <w:hyperlink r:id="rId17" w:history="1">
        <w:r w:rsidR="005956C8" w:rsidRPr="00430473">
          <w:rPr>
            <w:rStyle w:val="Hyperlink"/>
            <w:rFonts w:ascii="Century Gothic" w:hAnsi="Century Gothic"/>
            <w:sz w:val="22"/>
            <w:szCs w:val="22"/>
          </w:rPr>
          <w:t xml:space="preserve">resources </w:t>
        </w:r>
        <w:r w:rsidR="005051BA" w:rsidRPr="00430473">
          <w:rPr>
            <w:rStyle w:val="Hyperlink"/>
            <w:rFonts w:ascii="Century Gothic" w:hAnsi="Century Gothic"/>
            <w:sz w:val="22"/>
            <w:szCs w:val="22"/>
          </w:rPr>
          <w:t>on impact</w:t>
        </w:r>
      </w:hyperlink>
      <w:r w:rsidR="005051BA">
        <w:rPr>
          <w:rFonts w:ascii="Century Gothic" w:hAnsi="Century Gothic"/>
          <w:sz w:val="22"/>
          <w:szCs w:val="22"/>
        </w:rPr>
        <w:t xml:space="preserve"> help focus</w:t>
      </w:r>
      <w:r w:rsidR="00A26E92">
        <w:rPr>
          <w:rFonts w:ascii="Century Gothic" w:hAnsi="Century Gothic"/>
          <w:sz w:val="22"/>
          <w:szCs w:val="22"/>
        </w:rPr>
        <w:t xml:space="preserve"> these</w:t>
      </w:r>
      <w:r w:rsidR="005051BA">
        <w:rPr>
          <w:rFonts w:ascii="Century Gothic" w:hAnsi="Century Gothic"/>
          <w:sz w:val="22"/>
          <w:szCs w:val="22"/>
        </w:rPr>
        <w:t xml:space="preserve"> </w:t>
      </w:r>
      <w:r w:rsidR="006E4270">
        <w:rPr>
          <w:rFonts w:ascii="Century Gothic" w:hAnsi="Century Gothic"/>
          <w:sz w:val="22"/>
          <w:szCs w:val="22"/>
        </w:rPr>
        <w:t>research</w:t>
      </w:r>
      <w:r w:rsidR="005051BA">
        <w:rPr>
          <w:rFonts w:ascii="Century Gothic" w:hAnsi="Century Gothic"/>
          <w:sz w:val="22"/>
          <w:szCs w:val="22"/>
        </w:rPr>
        <w:t xml:space="preserve"> </w:t>
      </w:r>
      <w:r w:rsidR="00A26E92">
        <w:rPr>
          <w:rFonts w:ascii="Century Gothic" w:hAnsi="Century Gothic"/>
          <w:sz w:val="22"/>
          <w:szCs w:val="22"/>
        </w:rPr>
        <w:t xml:space="preserve">projects </w:t>
      </w:r>
      <w:r w:rsidR="005051BA">
        <w:rPr>
          <w:rFonts w:ascii="Century Gothic" w:hAnsi="Century Gothic"/>
          <w:sz w:val="22"/>
          <w:szCs w:val="22"/>
        </w:rPr>
        <w:t xml:space="preserve">on </w:t>
      </w:r>
      <w:r w:rsidR="00430473">
        <w:rPr>
          <w:rFonts w:ascii="Century Gothic" w:hAnsi="Century Gothic"/>
          <w:sz w:val="22"/>
          <w:szCs w:val="22"/>
        </w:rPr>
        <w:t xml:space="preserve">making a difference. </w:t>
      </w:r>
      <w:r w:rsidR="004673E9">
        <w:rPr>
          <w:rFonts w:ascii="Century Gothic" w:hAnsi="Century Gothic"/>
          <w:sz w:val="22"/>
          <w:szCs w:val="22"/>
        </w:rPr>
        <w:t xml:space="preserve">What’s still to do is </w:t>
      </w:r>
      <w:r w:rsidR="00195E15">
        <w:rPr>
          <w:rFonts w:ascii="Century Gothic" w:hAnsi="Century Gothic"/>
          <w:sz w:val="22"/>
          <w:szCs w:val="22"/>
        </w:rPr>
        <w:t xml:space="preserve">develop the way we describe </w:t>
      </w:r>
      <w:r w:rsidR="003C132D">
        <w:rPr>
          <w:rFonts w:ascii="Century Gothic" w:hAnsi="Century Gothic"/>
          <w:sz w:val="22"/>
          <w:szCs w:val="22"/>
        </w:rPr>
        <w:t xml:space="preserve">the </w:t>
      </w:r>
      <w:r w:rsidR="007B1085">
        <w:rPr>
          <w:rFonts w:ascii="Century Gothic" w:hAnsi="Century Gothic"/>
          <w:sz w:val="22"/>
          <w:szCs w:val="22"/>
        </w:rPr>
        <w:t xml:space="preserve">breadth of outcomes </w:t>
      </w:r>
      <w:r w:rsidR="006B795F">
        <w:rPr>
          <w:rFonts w:ascii="Century Gothic" w:hAnsi="Century Gothic"/>
          <w:sz w:val="22"/>
          <w:szCs w:val="22"/>
        </w:rPr>
        <w:t>achieved and where and how they take effect.</w:t>
      </w:r>
    </w:p>
    <w:p w14:paraId="3E05098A" w14:textId="0F0C9ACF" w:rsidR="001F785F" w:rsidRDefault="00C95CA8" w:rsidP="00C95CA8">
      <w:pPr>
        <w:rPr>
          <w:rFonts w:ascii="Century Gothic" w:hAnsi="Century Gothic"/>
          <w:sz w:val="22"/>
          <w:szCs w:val="22"/>
        </w:rPr>
      </w:pPr>
      <w:r w:rsidRPr="008964ED">
        <w:rPr>
          <w:rFonts w:ascii="Century Gothic" w:hAnsi="Century Gothic"/>
          <w:b/>
          <w:bCs/>
          <w:sz w:val="28"/>
          <w:szCs w:val="28"/>
        </w:rPr>
        <w:t>Introductio</w:t>
      </w:r>
      <w:r w:rsidR="0092330E">
        <w:rPr>
          <w:rFonts w:ascii="Century Gothic" w:hAnsi="Century Gothic"/>
          <w:b/>
          <w:bCs/>
          <w:sz w:val="28"/>
          <w:szCs w:val="28"/>
        </w:rPr>
        <w:t>n</w:t>
      </w:r>
    </w:p>
    <w:p w14:paraId="3C4B74A6" w14:textId="75A1F43D" w:rsidR="00F707E8" w:rsidRDefault="000967DA" w:rsidP="00C95CA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This document has been produced to help take forward discussions </w:t>
      </w:r>
      <w:r w:rsidR="0016769E">
        <w:rPr>
          <w:rFonts w:ascii="Century Gothic" w:hAnsi="Century Gothic"/>
          <w:sz w:val="22"/>
          <w:szCs w:val="22"/>
        </w:rPr>
        <w:t xml:space="preserve">across the Healthwatch </w:t>
      </w:r>
      <w:r w:rsidR="00F44F27">
        <w:rPr>
          <w:rFonts w:ascii="Century Gothic" w:hAnsi="Century Gothic"/>
          <w:sz w:val="22"/>
          <w:szCs w:val="22"/>
        </w:rPr>
        <w:t>service about where and how we achieve change</w:t>
      </w:r>
      <w:r w:rsidR="005C134E">
        <w:rPr>
          <w:rFonts w:ascii="Century Gothic" w:hAnsi="Century Gothic"/>
          <w:sz w:val="22"/>
          <w:szCs w:val="22"/>
        </w:rPr>
        <w:t xml:space="preserve">. </w:t>
      </w:r>
      <w:r w:rsidR="004B3E56">
        <w:rPr>
          <w:rFonts w:ascii="Century Gothic" w:hAnsi="Century Gothic"/>
          <w:sz w:val="22"/>
          <w:szCs w:val="22"/>
        </w:rPr>
        <w:t xml:space="preserve">This could be described as </w:t>
      </w:r>
      <w:r w:rsidR="00EA2796">
        <w:rPr>
          <w:rFonts w:ascii="Century Gothic" w:hAnsi="Century Gothic"/>
          <w:sz w:val="22"/>
          <w:szCs w:val="22"/>
        </w:rPr>
        <w:t>the</w:t>
      </w:r>
      <w:r w:rsidR="00DF3093">
        <w:rPr>
          <w:rFonts w:ascii="Century Gothic" w:hAnsi="Century Gothic"/>
          <w:sz w:val="22"/>
          <w:szCs w:val="22"/>
        </w:rPr>
        <w:t xml:space="preserve"> overall Theory of Change for what </w:t>
      </w:r>
      <w:r w:rsidR="007C2DA8">
        <w:rPr>
          <w:rFonts w:ascii="Century Gothic" w:hAnsi="Century Gothic"/>
          <w:sz w:val="22"/>
          <w:szCs w:val="22"/>
        </w:rPr>
        <w:t>local Healthwatch and Healthwatch England ac</w:t>
      </w:r>
      <w:r w:rsidR="00F707E8">
        <w:rPr>
          <w:rFonts w:ascii="Century Gothic" w:hAnsi="Century Gothic"/>
          <w:sz w:val="22"/>
          <w:szCs w:val="22"/>
        </w:rPr>
        <w:t>hieve together.</w:t>
      </w:r>
    </w:p>
    <w:p w14:paraId="2CB7D557" w14:textId="02CBDA26" w:rsidR="008964ED" w:rsidRDefault="0033353D" w:rsidP="00C95CA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document</w:t>
      </w:r>
      <w:r w:rsidR="005C134E">
        <w:rPr>
          <w:rFonts w:ascii="Century Gothic" w:hAnsi="Century Gothic"/>
          <w:sz w:val="22"/>
          <w:szCs w:val="22"/>
        </w:rPr>
        <w:t xml:space="preserve"> </w:t>
      </w:r>
      <w:r w:rsidR="0030122E">
        <w:rPr>
          <w:rFonts w:ascii="Century Gothic" w:hAnsi="Century Gothic"/>
          <w:sz w:val="22"/>
          <w:szCs w:val="22"/>
        </w:rPr>
        <w:t>summarises</w:t>
      </w:r>
      <w:r w:rsidR="005C134E">
        <w:rPr>
          <w:rFonts w:ascii="Century Gothic" w:hAnsi="Century Gothic"/>
          <w:sz w:val="22"/>
          <w:szCs w:val="22"/>
        </w:rPr>
        <w:t xml:space="preserve"> our combined thinking so far</w:t>
      </w:r>
      <w:r w:rsidR="00325870">
        <w:rPr>
          <w:rFonts w:ascii="Century Gothic" w:hAnsi="Century Gothic"/>
          <w:sz w:val="22"/>
          <w:szCs w:val="22"/>
        </w:rPr>
        <w:t xml:space="preserve">, based on initial conversations with </w:t>
      </w:r>
      <w:r w:rsidR="007C3D5F">
        <w:rPr>
          <w:rFonts w:ascii="Century Gothic" w:hAnsi="Century Gothic"/>
          <w:sz w:val="22"/>
          <w:szCs w:val="22"/>
        </w:rPr>
        <w:t>fifteen</w:t>
      </w:r>
      <w:r w:rsidR="00BB2F95">
        <w:rPr>
          <w:rFonts w:ascii="Century Gothic" w:hAnsi="Century Gothic"/>
          <w:sz w:val="22"/>
          <w:szCs w:val="22"/>
        </w:rPr>
        <w:t xml:space="preserve"> lead officers and reflection on the </w:t>
      </w:r>
      <w:r w:rsidR="00516BB4">
        <w:rPr>
          <w:rFonts w:ascii="Century Gothic" w:hAnsi="Century Gothic"/>
          <w:sz w:val="22"/>
          <w:szCs w:val="22"/>
        </w:rPr>
        <w:t>types of outcomes and impact found in annual reports and elsewhere.</w:t>
      </w:r>
    </w:p>
    <w:p w14:paraId="253C3AD6" w14:textId="63B3893C" w:rsidR="002F3F69" w:rsidRPr="008964ED" w:rsidRDefault="005045AC" w:rsidP="00C95CA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Healthwatch involved so far have </w:t>
      </w:r>
      <w:r w:rsidR="00FE5CDC">
        <w:rPr>
          <w:rFonts w:ascii="Century Gothic" w:hAnsi="Century Gothic"/>
          <w:sz w:val="22"/>
          <w:szCs w:val="22"/>
        </w:rPr>
        <w:t xml:space="preserve">fed back that </w:t>
      </w:r>
      <w:r w:rsidR="00BA3298">
        <w:rPr>
          <w:rFonts w:ascii="Century Gothic" w:hAnsi="Century Gothic"/>
          <w:sz w:val="22"/>
          <w:szCs w:val="22"/>
        </w:rPr>
        <w:t xml:space="preserve">the discussions have helped them focus on some outcomes that </w:t>
      </w:r>
      <w:r w:rsidR="002E1FD2">
        <w:rPr>
          <w:rFonts w:ascii="Century Gothic" w:hAnsi="Century Gothic"/>
          <w:sz w:val="22"/>
          <w:szCs w:val="22"/>
        </w:rPr>
        <w:t>they may have been overlooking</w:t>
      </w:r>
      <w:r w:rsidR="006354B1">
        <w:rPr>
          <w:rFonts w:ascii="Century Gothic" w:hAnsi="Century Gothic"/>
          <w:sz w:val="22"/>
          <w:szCs w:val="22"/>
        </w:rPr>
        <w:t>,</w:t>
      </w:r>
      <w:r w:rsidR="00FB1011">
        <w:rPr>
          <w:rFonts w:ascii="Century Gothic" w:hAnsi="Century Gothic"/>
          <w:sz w:val="22"/>
          <w:szCs w:val="22"/>
        </w:rPr>
        <w:t xml:space="preserve"> or not describing to </w:t>
      </w:r>
      <w:r w:rsidR="00FC1B47">
        <w:rPr>
          <w:rFonts w:ascii="Century Gothic" w:hAnsi="Century Gothic"/>
          <w:sz w:val="22"/>
          <w:szCs w:val="22"/>
        </w:rPr>
        <w:t>their commissioners or the public</w:t>
      </w:r>
      <w:r w:rsidR="002E1FD2">
        <w:rPr>
          <w:rFonts w:ascii="Century Gothic" w:hAnsi="Century Gothic"/>
          <w:sz w:val="22"/>
          <w:szCs w:val="22"/>
        </w:rPr>
        <w:t>. But t</w:t>
      </w:r>
      <w:r w:rsidR="002F3F69" w:rsidRPr="6EA35812">
        <w:rPr>
          <w:rFonts w:ascii="Century Gothic" w:hAnsi="Century Gothic"/>
          <w:sz w:val="22"/>
          <w:szCs w:val="22"/>
        </w:rPr>
        <w:t xml:space="preserve">his isn’t a finished product. It doesn’t </w:t>
      </w:r>
      <w:r w:rsidR="00452C19" w:rsidRPr="6EA35812">
        <w:rPr>
          <w:rFonts w:ascii="Century Gothic" w:hAnsi="Century Gothic"/>
          <w:sz w:val="22"/>
          <w:szCs w:val="22"/>
        </w:rPr>
        <w:t xml:space="preserve">claim to </w:t>
      </w:r>
      <w:r w:rsidR="001E5785" w:rsidRPr="6EA35812">
        <w:rPr>
          <w:rFonts w:ascii="Century Gothic" w:hAnsi="Century Gothic"/>
          <w:sz w:val="22"/>
          <w:szCs w:val="22"/>
        </w:rPr>
        <w:t xml:space="preserve">be </w:t>
      </w:r>
      <w:r w:rsidR="00A75FA3" w:rsidRPr="6EA35812">
        <w:rPr>
          <w:rFonts w:ascii="Century Gothic" w:hAnsi="Century Gothic"/>
          <w:sz w:val="22"/>
          <w:szCs w:val="22"/>
        </w:rPr>
        <w:t>comprehensive o</w:t>
      </w:r>
      <w:r w:rsidR="008A26ED">
        <w:rPr>
          <w:rFonts w:ascii="Century Gothic" w:hAnsi="Century Gothic"/>
          <w:sz w:val="22"/>
          <w:szCs w:val="22"/>
        </w:rPr>
        <w:t>r</w:t>
      </w:r>
      <w:r w:rsidR="00A75FA3" w:rsidRPr="6EA35812">
        <w:rPr>
          <w:rFonts w:ascii="Century Gothic" w:hAnsi="Century Gothic"/>
          <w:sz w:val="22"/>
          <w:szCs w:val="22"/>
        </w:rPr>
        <w:t xml:space="preserve"> conclusive. It’s </w:t>
      </w:r>
      <w:r w:rsidR="000506B4" w:rsidRPr="6EA35812">
        <w:rPr>
          <w:rFonts w:ascii="Century Gothic" w:hAnsi="Century Gothic"/>
          <w:sz w:val="22"/>
          <w:szCs w:val="22"/>
        </w:rPr>
        <w:t xml:space="preserve">what we hope will enable </w:t>
      </w:r>
      <w:r w:rsidR="00131189" w:rsidRPr="6EA35812">
        <w:rPr>
          <w:rFonts w:ascii="Century Gothic" w:hAnsi="Century Gothic"/>
          <w:sz w:val="22"/>
          <w:szCs w:val="22"/>
        </w:rPr>
        <w:t>the in</w:t>
      </w:r>
      <w:r w:rsidR="00DD2077" w:rsidRPr="6EA35812">
        <w:rPr>
          <w:rFonts w:ascii="Century Gothic" w:hAnsi="Century Gothic"/>
          <w:sz w:val="22"/>
          <w:szCs w:val="22"/>
        </w:rPr>
        <w:t>sightful</w:t>
      </w:r>
      <w:r w:rsidR="00131189" w:rsidRPr="6EA35812">
        <w:rPr>
          <w:rFonts w:ascii="Century Gothic" w:hAnsi="Century Gothic"/>
          <w:sz w:val="22"/>
          <w:szCs w:val="22"/>
        </w:rPr>
        <w:t xml:space="preserve"> and collaborative conversations we’ve had so far to be widened out to </w:t>
      </w:r>
      <w:r w:rsidR="00DD2077" w:rsidRPr="6EA35812">
        <w:rPr>
          <w:rFonts w:ascii="Century Gothic" w:hAnsi="Century Gothic"/>
          <w:sz w:val="22"/>
          <w:szCs w:val="22"/>
        </w:rPr>
        <w:t>all</w:t>
      </w:r>
      <w:r w:rsidR="00A57956">
        <w:rPr>
          <w:rFonts w:ascii="Century Gothic" w:hAnsi="Century Gothic"/>
          <w:sz w:val="22"/>
          <w:szCs w:val="22"/>
        </w:rPr>
        <w:t xml:space="preserve"> interested</w:t>
      </w:r>
      <w:r w:rsidR="00DD2077" w:rsidRPr="6EA35812">
        <w:rPr>
          <w:rFonts w:ascii="Century Gothic" w:hAnsi="Century Gothic"/>
          <w:sz w:val="22"/>
          <w:szCs w:val="22"/>
        </w:rPr>
        <w:t xml:space="preserve"> </w:t>
      </w:r>
      <w:r w:rsidR="00D22857" w:rsidRPr="6EA35812">
        <w:rPr>
          <w:rFonts w:ascii="Century Gothic" w:hAnsi="Century Gothic"/>
          <w:sz w:val="22"/>
          <w:szCs w:val="22"/>
        </w:rPr>
        <w:t xml:space="preserve">local </w:t>
      </w:r>
      <w:r w:rsidR="00E6359A" w:rsidRPr="6EA35812">
        <w:rPr>
          <w:rFonts w:ascii="Century Gothic" w:hAnsi="Century Gothic"/>
          <w:sz w:val="22"/>
          <w:szCs w:val="22"/>
        </w:rPr>
        <w:t>Healthwatch colleagues</w:t>
      </w:r>
      <w:r w:rsidR="00A57956">
        <w:rPr>
          <w:rFonts w:ascii="Century Gothic" w:hAnsi="Century Gothic"/>
          <w:sz w:val="22"/>
          <w:szCs w:val="22"/>
        </w:rPr>
        <w:t>.</w:t>
      </w:r>
    </w:p>
    <w:p w14:paraId="72E588C5" w14:textId="12E976F6" w:rsidR="00430D0E" w:rsidRDefault="00937E62" w:rsidP="00922C90">
      <w:pPr>
        <w:rPr>
          <w:rFonts w:ascii="Century Gothic" w:hAnsi="Century Gothic"/>
          <w:b/>
          <w:bCs/>
          <w:sz w:val="28"/>
          <w:szCs w:val="28"/>
        </w:rPr>
      </w:pPr>
      <w:r w:rsidRPr="00922C90">
        <w:rPr>
          <w:rFonts w:ascii="Century Gothic" w:hAnsi="Century Gothic"/>
          <w:sz w:val="22"/>
          <w:szCs w:val="22"/>
        </w:rPr>
        <w:br/>
      </w:r>
      <w:r w:rsidR="00091F39">
        <w:rPr>
          <w:rFonts w:ascii="Century Gothic" w:hAnsi="Century Gothic"/>
          <w:b/>
          <w:bCs/>
          <w:sz w:val="28"/>
          <w:szCs w:val="28"/>
        </w:rPr>
        <w:t>What are we aiming to do?</w:t>
      </w:r>
    </w:p>
    <w:p w14:paraId="234A38D2" w14:textId="7FE2C6FB" w:rsidR="00880FA0" w:rsidRDefault="006543FB" w:rsidP="00922C9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From listening to Healthwatch, we’re keen to make sure we help the network capture </w:t>
      </w:r>
      <w:r w:rsidR="00B40DF9">
        <w:rPr>
          <w:rFonts w:ascii="Century Gothic" w:hAnsi="Century Gothic"/>
          <w:sz w:val="22"/>
          <w:szCs w:val="22"/>
        </w:rPr>
        <w:t xml:space="preserve">and describe all the outcomes that are achieved. Sometimes </w:t>
      </w:r>
      <w:r w:rsidR="00CF78CD">
        <w:rPr>
          <w:rFonts w:ascii="Century Gothic" w:hAnsi="Century Gothic"/>
          <w:sz w:val="22"/>
          <w:szCs w:val="22"/>
        </w:rPr>
        <w:t xml:space="preserve">the </w:t>
      </w:r>
      <w:r w:rsidR="00B40DF9">
        <w:rPr>
          <w:rFonts w:ascii="Century Gothic" w:hAnsi="Century Gothic"/>
          <w:sz w:val="22"/>
          <w:szCs w:val="22"/>
        </w:rPr>
        <w:t>focus can be mainly on the ‘service change’ outcomes</w:t>
      </w:r>
      <w:r w:rsidR="00CF78CD">
        <w:rPr>
          <w:rFonts w:ascii="Century Gothic" w:hAnsi="Century Gothic"/>
          <w:sz w:val="22"/>
          <w:szCs w:val="22"/>
        </w:rPr>
        <w:t>,</w:t>
      </w:r>
      <w:r w:rsidR="00B40DF9">
        <w:rPr>
          <w:rFonts w:ascii="Century Gothic" w:hAnsi="Century Gothic"/>
          <w:sz w:val="22"/>
          <w:szCs w:val="22"/>
        </w:rPr>
        <w:t xml:space="preserve"> which can be easier to describe</w:t>
      </w:r>
      <w:r w:rsidR="00D0439A">
        <w:rPr>
          <w:rFonts w:ascii="Century Gothic" w:hAnsi="Century Gothic"/>
          <w:sz w:val="22"/>
          <w:szCs w:val="22"/>
        </w:rPr>
        <w:t>, but this doesn’t reflect the breadth of statutory activity.</w:t>
      </w:r>
    </w:p>
    <w:p w14:paraId="3A52904F" w14:textId="42311849" w:rsidR="0056678F" w:rsidRDefault="0056678F" w:rsidP="00922C90">
      <w:pPr>
        <w:rPr>
          <w:rFonts w:ascii="Century Gothic" w:hAnsi="Century Gothic"/>
          <w:sz w:val="22"/>
          <w:szCs w:val="22"/>
        </w:rPr>
      </w:pPr>
      <w:r w:rsidRPr="008D4CF3">
        <w:rPr>
          <w:rFonts w:ascii="Century Gothic" w:hAnsi="Century Gothic"/>
          <w:sz w:val="22"/>
          <w:szCs w:val="22"/>
        </w:rPr>
        <w:t>We believe that identifying a structure that sits above the individual outcomes themselves and allows us to better define and categorise them can</w:t>
      </w:r>
      <w:r w:rsidR="007F14DD">
        <w:rPr>
          <w:rFonts w:ascii="Century Gothic" w:hAnsi="Century Gothic"/>
          <w:sz w:val="22"/>
          <w:szCs w:val="22"/>
        </w:rPr>
        <w:t>,</w:t>
      </w:r>
      <w:r w:rsidRPr="008D4CF3">
        <w:rPr>
          <w:rFonts w:ascii="Century Gothic" w:hAnsi="Century Gothic"/>
          <w:sz w:val="22"/>
          <w:szCs w:val="22"/>
        </w:rPr>
        <w:t xml:space="preserve"> in turn</w:t>
      </w:r>
      <w:r w:rsidR="007F14DD">
        <w:rPr>
          <w:rFonts w:ascii="Century Gothic" w:hAnsi="Century Gothic"/>
          <w:sz w:val="22"/>
          <w:szCs w:val="22"/>
        </w:rPr>
        <w:t>,</w:t>
      </w:r>
      <w:r w:rsidRPr="008D4CF3">
        <w:rPr>
          <w:rFonts w:ascii="Century Gothic" w:hAnsi="Century Gothic"/>
          <w:sz w:val="22"/>
          <w:szCs w:val="22"/>
        </w:rPr>
        <w:t xml:space="preserve"> help us </w:t>
      </w:r>
      <w:r>
        <w:rPr>
          <w:rFonts w:ascii="Century Gothic" w:hAnsi="Century Gothic"/>
          <w:sz w:val="22"/>
          <w:szCs w:val="22"/>
        </w:rPr>
        <w:t xml:space="preserve">with this </w:t>
      </w:r>
      <w:r w:rsidRPr="008D4CF3">
        <w:rPr>
          <w:rFonts w:ascii="Century Gothic" w:hAnsi="Century Gothic"/>
          <w:sz w:val="22"/>
          <w:szCs w:val="22"/>
        </w:rPr>
        <w:t>anal</w:t>
      </w:r>
      <w:r>
        <w:rPr>
          <w:rFonts w:ascii="Century Gothic" w:hAnsi="Century Gothic"/>
          <w:sz w:val="22"/>
          <w:szCs w:val="22"/>
        </w:rPr>
        <w:t>ysis of</w:t>
      </w:r>
      <w:r w:rsidRPr="008D4CF3">
        <w:rPr>
          <w:rFonts w:ascii="Century Gothic" w:hAnsi="Century Gothic"/>
          <w:sz w:val="22"/>
          <w:szCs w:val="22"/>
        </w:rPr>
        <w:t xml:space="preserve"> what we do and what we achieve.</w:t>
      </w:r>
      <w:r>
        <w:rPr>
          <w:rFonts w:ascii="Century Gothic" w:hAnsi="Century Gothic"/>
          <w:sz w:val="22"/>
          <w:szCs w:val="22"/>
        </w:rPr>
        <w:t xml:space="preserve"> We’ve called these categories ‘domains’ for now, but maybe realms, areas, spheres, or just categories would be preferred?</w:t>
      </w:r>
    </w:p>
    <w:p w14:paraId="795C4EA2" w14:textId="1F0FA642" w:rsidR="00D0439A" w:rsidRDefault="00861E2F" w:rsidP="002F4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 w:rsidRPr="00837309">
        <w:rPr>
          <w:rFonts w:ascii="Century Gothic" w:hAnsi="Century Gothic"/>
          <w:sz w:val="22"/>
          <w:szCs w:val="22"/>
        </w:rPr>
        <w:t>Following this</w:t>
      </w:r>
      <w:r w:rsidR="000F2FFC" w:rsidRPr="00837309">
        <w:rPr>
          <w:rFonts w:ascii="Century Gothic" w:hAnsi="Century Gothic"/>
          <w:sz w:val="22"/>
          <w:szCs w:val="22"/>
        </w:rPr>
        <w:t xml:space="preserve"> </w:t>
      </w:r>
      <w:r w:rsidR="009769CF" w:rsidRPr="00837309">
        <w:rPr>
          <w:rFonts w:ascii="Century Gothic" w:hAnsi="Century Gothic"/>
          <w:sz w:val="22"/>
          <w:szCs w:val="22"/>
        </w:rPr>
        <w:t>round of discussion across the network</w:t>
      </w:r>
      <w:r w:rsidR="000F2FFC" w:rsidRPr="00837309">
        <w:rPr>
          <w:rFonts w:ascii="Century Gothic" w:hAnsi="Century Gothic"/>
          <w:sz w:val="22"/>
          <w:szCs w:val="22"/>
        </w:rPr>
        <w:t xml:space="preserve">, we’ll </w:t>
      </w:r>
      <w:r w:rsidR="00A83A55" w:rsidRPr="00837309">
        <w:rPr>
          <w:rFonts w:ascii="Century Gothic" w:hAnsi="Century Gothic"/>
          <w:sz w:val="22"/>
          <w:szCs w:val="22"/>
        </w:rPr>
        <w:t>also be</w:t>
      </w:r>
      <w:r w:rsidR="00987020" w:rsidRPr="00837309">
        <w:rPr>
          <w:rFonts w:ascii="Century Gothic" w:hAnsi="Century Gothic"/>
          <w:sz w:val="22"/>
          <w:szCs w:val="22"/>
        </w:rPr>
        <w:t xml:space="preserve"> consider</w:t>
      </w:r>
      <w:r w:rsidR="00A83A55" w:rsidRPr="00837309">
        <w:rPr>
          <w:rFonts w:ascii="Century Gothic" w:hAnsi="Century Gothic"/>
          <w:sz w:val="22"/>
          <w:szCs w:val="22"/>
        </w:rPr>
        <w:t>ing</w:t>
      </w:r>
      <w:r w:rsidR="00987020" w:rsidRPr="00837309">
        <w:rPr>
          <w:rFonts w:ascii="Century Gothic" w:hAnsi="Century Gothic"/>
          <w:sz w:val="22"/>
          <w:szCs w:val="22"/>
        </w:rPr>
        <w:t xml:space="preserve"> </w:t>
      </w:r>
      <w:r w:rsidR="00D158A5" w:rsidRPr="00837309">
        <w:rPr>
          <w:rFonts w:ascii="Century Gothic" w:hAnsi="Century Gothic"/>
          <w:sz w:val="22"/>
          <w:szCs w:val="22"/>
        </w:rPr>
        <w:t xml:space="preserve">where Healthwatch England outcomes fit into this picture </w:t>
      </w:r>
      <w:r w:rsidR="004658D0" w:rsidRPr="00837309">
        <w:rPr>
          <w:rFonts w:ascii="Century Gothic" w:hAnsi="Century Gothic"/>
          <w:sz w:val="22"/>
          <w:szCs w:val="22"/>
        </w:rPr>
        <w:t>to</w:t>
      </w:r>
      <w:r w:rsidR="00D158A5" w:rsidRPr="00837309">
        <w:rPr>
          <w:rFonts w:ascii="Century Gothic" w:hAnsi="Century Gothic"/>
          <w:sz w:val="22"/>
          <w:szCs w:val="22"/>
        </w:rPr>
        <w:t xml:space="preserve"> strengthen our shared </w:t>
      </w:r>
      <w:r w:rsidR="00880FA0" w:rsidRPr="00837309">
        <w:rPr>
          <w:rFonts w:ascii="Century Gothic" w:hAnsi="Century Gothic"/>
          <w:sz w:val="22"/>
          <w:szCs w:val="22"/>
        </w:rPr>
        <w:t>narrative about what we achieve together.</w:t>
      </w:r>
    </w:p>
    <w:p w14:paraId="0C03AAE3" w14:textId="118784B6" w:rsidR="00196457" w:rsidRPr="008D4CF3" w:rsidRDefault="0099106A" w:rsidP="00196457">
      <w:pPr>
        <w:rPr>
          <w:rFonts w:ascii="Century Gothic" w:hAnsi="Century Gothic"/>
          <w:sz w:val="22"/>
          <w:szCs w:val="22"/>
        </w:rPr>
      </w:pPr>
      <w:r w:rsidRPr="008D4CF3">
        <w:rPr>
          <w:rFonts w:ascii="Century Gothic" w:hAnsi="Century Gothic"/>
          <w:sz w:val="22"/>
          <w:szCs w:val="22"/>
        </w:rPr>
        <w:t xml:space="preserve">Our thinking is that this </w:t>
      </w:r>
      <w:r w:rsidR="00446E1C">
        <w:rPr>
          <w:rFonts w:ascii="Century Gothic" w:hAnsi="Century Gothic"/>
          <w:sz w:val="22"/>
          <w:szCs w:val="22"/>
        </w:rPr>
        <w:t>work will</w:t>
      </w:r>
      <w:r w:rsidRPr="008D4CF3">
        <w:rPr>
          <w:rFonts w:ascii="Century Gothic" w:hAnsi="Century Gothic"/>
          <w:sz w:val="22"/>
          <w:szCs w:val="22"/>
        </w:rPr>
        <w:t xml:space="preserve"> be used to:</w:t>
      </w:r>
    </w:p>
    <w:p w14:paraId="47858443" w14:textId="76EC317E" w:rsidR="0099758E" w:rsidRPr="008D4CF3" w:rsidRDefault="0099758E" w:rsidP="0099758E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8D4CF3">
        <w:rPr>
          <w:rFonts w:ascii="Century Gothic" w:hAnsi="Century Gothic"/>
          <w:sz w:val="22"/>
          <w:szCs w:val="22"/>
        </w:rPr>
        <w:t>Make sure we’re all telling the best story a</w:t>
      </w:r>
      <w:r w:rsidR="001006F9">
        <w:rPr>
          <w:rFonts w:ascii="Century Gothic" w:hAnsi="Century Gothic"/>
          <w:sz w:val="22"/>
          <w:szCs w:val="22"/>
        </w:rPr>
        <w:t>bout</w:t>
      </w:r>
      <w:r w:rsidRPr="008D4CF3">
        <w:rPr>
          <w:rFonts w:ascii="Century Gothic" w:hAnsi="Century Gothic"/>
          <w:sz w:val="22"/>
          <w:szCs w:val="22"/>
        </w:rPr>
        <w:t xml:space="preserve"> each domain and enhance our overall narrative about the value of listening and of what Healthwatch offers.</w:t>
      </w:r>
    </w:p>
    <w:p w14:paraId="3510F664" w14:textId="313B5574" w:rsidR="0099758E" w:rsidRDefault="0099758E" w:rsidP="0099758E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8D4CF3">
        <w:rPr>
          <w:rFonts w:ascii="Century Gothic" w:hAnsi="Century Gothic"/>
          <w:sz w:val="22"/>
          <w:szCs w:val="22"/>
        </w:rPr>
        <w:t>Help ensure that funders and other stakeholders recognise the breadth of Healthwatch impact.</w:t>
      </w:r>
    </w:p>
    <w:p w14:paraId="010B6749" w14:textId="67B54E5D" w:rsidR="00C67F5F" w:rsidRPr="00C67F5F" w:rsidRDefault="00C67F5F" w:rsidP="00C67F5F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8D4CF3">
        <w:rPr>
          <w:rFonts w:ascii="Century Gothic" w:hAnsi="Century Gothic"/>
          <w:sz w:val="22"/>
          <w:szCs w:val="22"/>
        </w:rPr>
        <w:t xml:space="preserve">Ensure what Healthwatch achieve through ‘holding to account’ is better understood, considering the responsibilities covered in the </w:t>
      </w:r>
      <w:hyperlink r:id="rId18" w:history="1">
        <w:r w:rsidRPr="008D4CF3">
          <w:rPr>
            <w:rStyle w:val="Hyperlink"/>
            <w:rFonts w:ascii="Century Gothic" w:hAnsi="Century Gothic"/>
            <w:sz w:val="22"/>
            <w:szCs w:val="22"/>
          </w:rPr>
          <w:t>Holding to Account Toolkit</w:t>
        </w:r>
      </w:hyperlink>
      <w:r w:rsidRPr="008D4CF3">
        <w:rPr>
          <w:rFonts w:ascii="Century Gothic" w:hAnsi="Century Gothic"/>
          <w:sz w:val="22"/>
          <w:szCs w:val="22"/>
        </w:rPr>
        <w:t>.</w:t>
      </w:r>
    </w:p>
    <w:p w14:paraId="3B599A73" w14:textId="1B8916D0" w:rsidR="00A3559B" w:rsidRPr="008D4CF3" w:rsidRDefault="006D656C" w:rsidP="00B04E68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Help </w:t>
      </w:r>
      <w:r w:rsidR="00E531AD">
        <w:rPr>
          <w:rFonts w:ascii="Century Gothic" w:hAnsi="Century Gothic"/>
          <w:sz w:val="22"/>
          <w:szCs w:val="22"/>
        </w:rPr>
        <w:t>us all</w:t>
      </w:r>
      <w:r>
        <w:rPr>
          <w:rFonts w:ascii="Century Gothic" w:hAnsi="Century Gothic"/>
          <w:sz w:val="22"/>
          <w:szCs w:val="22"/>
        </w:rPr>
        <w:t xml:space="preserve"> consider </w:t>
      </w:r>
      <w:r w:rsidR="00490C9D">
        <w:rPr>
          <w:rFonts w:ascii="Century Gothic" w:hAnsi="Century Gothic"/>
          <w:sz w:val="22"/>
          <w:szCs w:val="22"/>
        </w:rPr>
        <w:t xml:space="preserve">any relationship between the </w:t>
      </w:r>
      <w:proofErr w:type="gramStart"/>
      <w:r w:rsidR="00490C9D">
        <w:rPr>
          <w:rFonts w:ascii="Century Gothic" w:hAnsi="Century Gothic"/>
          <w:sz w:val="22"/>
          <w:szCs w:val="22"/>
        </w:rPr>
        <w:t>particular domains</w:t>
      </w:r>
      <w:proofErr w:type="gramEnd"/>
      <w:r w:rsidR="00490C9D">
        <w:rPr>
          <w:rFonts w:ascii="Century Gothic" w:hAnsi="Century Gothic"/>
          <w:sz w:val="22"/>
          <w:szCs w:val="22"/>
        </w:rPr>
        <w:t xml:space="preserve"> where outcomes are achieved</w:t>
      </w:r>
      <w:r w:rsidR="009307C0">
        <w:rPr>
          <w:rFonts w:ascii="Century Gothic" w:hAnsi="Century Gothic"/>
          <w:sz w:val="22"/>
          <w:szCs w:val="22"/>
        </w:rPr>
        <w:t xml:space="preserve">, </w:t>
      </w:r>
      <w:r w:rsidR="00957708">
        <w:rPr>
          <w:rFonts w:ascii="Century Gothic" w:hAnsi="Century Gothic"/>
          <w:sz w:val="22"/>
          <w:szCs w:val="22"/>
        </w:rPr>
        <w:t xml:space="preserve">the approaches to influencing needed to do that, and </w:t>
      </w:r>
      <w:r w:rsidR="00C13672">
        <w:rPr>
          <w:rFonts w:ascii="Century Gothic" w:hAnsi="Century Gothic"/>
          <w:sz w:val="22"/>
          <w:szCs w:val="22"/>
        </w:rPr>
        <w:t xml:space="preserve">the </w:t>
      </w:r>
      <w:r w:rsidR="00957708">
        <w:rPr>
          <w:rFonts w:ascii="Century Gothic" w:hAnsi="Century Gothic"/>
          <w:sz w:val="22"/>
          <w:szCs w:val="22"/>
        </w:rPr>
        <w:t>level of resources it takes.</w:t>
      </w:r>
    </w:p>
    <w:p w14:paraId="207B99E5" w14:textId="7D55AA71" w:rsidR="001A2E45" w:rsidRPr="008D4CF3" w:rsidRDefault="00C67F5F" w:rsidP="001A2E45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Strengthen our overall picture of Healthwatch impact to inform our support offer.</w:t>
      </w:r>
    </w:p>
    <w:p w14:paraId="5E84A4F5" w14:textId="6B7EE292" w:rsidR="001E784D" w:rsidRPr="00291153" w:rsidRDefault="004C5454" w:rsidP="009A46F8">
      <w:pPr>
        <w:rPr>
          <w:rFonts w:ascii="Century Gothic" w:hAnsi="Century Gothic"/>
          <w:sz w:val="22"/>
          <w:szCs w:val="22"/>
        </w:rPr>
      </w:pPr>
      <w:r w:rsidRPr="008D4CF3">
        <w:rPr>
          <w:rFonts w:ascii="Century Gothic" w:hAnsi="Century Gothic"/>
          <w:sz w:val="22"/>
          <w:szCs w:val="22"/>
        </w:rPr>
        <w:t>This d</w:t>
      </w:r>
      <w:r w:rsidR="00291153" w:rsidRPr="008D4CF3">
        <w:rPr>
          <w:rFonts w:ascii="Century Gothic" w:hAnsi="Century Gothic"/>
          <w:sz w:val="22"/>
          <w:szCs w:val="22"/>
        </w:rPr>
        <w:t xml:space="preserve">ocument finishes with a range of questions to stimulate discussion. </w:t>
      </w:r>
      <w:r w:rsidR="00CE5914" w:rsidRPr="008D4CF3">
        <w:rPr>
          <w:rFonts w:ascii="Century Gothic" w:hAnsi="Century Gothic"/>
          <w:sz w:val="22"/>
          <w:szCs w:val="22"/>
        </w:rPr>
        <w:t>You</w:t>
      </w:r>
      <w:r w:rsidR="00291153" w:rsidRPr="008D4CF3">
        <w:rPr>
          <w:rFonts w:ascii="Century Gothic" w:hAnsi="Century Gothic"/>
          <w:sz w:val="22"/>
          <w:szCs w:val="22"/>
        </w:rPr>
        <w:t xml:space="preserve"> may well </w:t>
      </w:r>
      <w:r w:rsidR="00AA4F89" w:rsidRPr="008D4CF3">
        <w:rPr>
          <w:rFonts w:ascii="Century Gothic" w:hAnsi="Century Gothic"/>
          <w:sz w:val="22"/>
          <w:szCs w:val="22"/>
        </w:rPr>
        <w:t>bring other questions to the</w:t>
      </w:r>
      <w:r w:rsidR="00C21B74" w:rsidRPr="008D4CF3">
        <w:rPr>
          <w:rFonts w:ascii="Century Gothic" w:hAnsi="Century Gothic"/>
          <w:sz w:val="22"/>
          <w:szCs w:val="22"/>
        </w:rPr>
        <w:t xml:space="preserve"> conversation</w:t>
      </w:r>
      <w:r w:rsidR="009307C0">
        <w:rPr>
          <w:rFonts w:ascii="Century Gothic" w:hAnsi="Century Gothic"/>
          <w:sz w:val="22"/>
          <w:szCs w:val="22"/>
        </w:rPr>
        <w:t>.</w:t>
      </w:r>
    </w:p>
    <w:p w14:paraId="6AEA06CE" w14:textId="77777777" w:rsidR="009307C0" w:rsidRDefault="009307C0" w:rsidP="009A46F8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br w:type="page"/>
      </w:r>
    </w:p>
    <w:p w14:paraId="1E06B79F" w14:textId="54C6D519" w:rsidR="009A46F8" w:rsidRPr="00DF1E37" w:rsidRDefault="009A46F8" w:rsidP="009A46F8">
      <w:pPr>
        <w:rPr>
          <w:rFonts w:ascii="Century Gothic" w:hAnsi="Century Gothic"/>
          <w:b/>
          <w:bCs/>
          <w:sz w:val="28"/>
          <w:szCs w:val="28"/>
        </w:rPr>
      </w:pPr>
      <w:r w:rsidRPr="00DF1E37">
        <w:rPr>
          <w:rFonts w:ascii="Century Gothic" w:hAnsi="Century Gothic"/>
          <w:b/>
          <w:bCs/>
          <w:sz w:val="28"/>
          <w:szCs w:val="28"/>
        </w:rPr>
        <w:lastRenderedPageBreak/>
        <w:t>Outcome Domain</w:t>
      </w:r>
      <w:r w:rsidR="00F2379C" w:rsidRPr="00DF1E37">
        <w:rPr>
          <w:rFonts w:ascii="Century Gothic" w:hAnsi="Century Gothic"/>
          <w:b/>
          <w:bCs/>
          <w:sz w:val="28"/>
          <w:szCs w:val="28"/>
        </w:rPr>
        <w:t xml:space="preserve"> Headings</w:t>
      </w:r>
    </w:p>
    <w:p w14:paraId="3DB8A462" w14:textId="026739BF" w:rsidR="00CE5914" w:rsidRDefault="00C571B6" w:rsidP="009A46F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Our current list of outcome domains </w:t>
      </w:r>
      <w:r w:rsidR="00B32C54">
        <w:rPr>
          <w:rFonts w:ascii="Century Gothic" w:hAnsi="Century Gothic"/>
          <w:sz w:val="22"/>
          <w:szCs w:val="22"/>
        </w:rPr>
        <w:t>is</w:t>
      </w:r>
      <w:r>
        <w:rPr>
          <w:rFonts w:ascii="Century Gothic" w:hAnsi="Century Gothic"/>
          <w:sz w:val="22"/>
          <w:szCs w:val="22"/>
        </w:rPr>
        <w:t xml:space="preserve"> split across six headings.</w:t>
      </w:r>
      <w:r w:rsidR="00E5581B">
        <w:rPr>
          <w:rFonts w:ascii="Century Gothic" w:hAnsi="Century Gothic"/>
          <w:sz w:val="22"/>
          <w:szCs w:val="22"/>
        </w:rPr>
        <w:t xml:space="preserve"> Within each of these</w:t>
      </w:r>
      <w:r w:rsidR="00DF1F00">
        <w:rPr>
          <w:rFonts w:ascii="Century Gothic" w:hAnsi="Century Gothic"/>
          <w:sz w:val="22"/>
          <w:szCs w:val="22"/>
        </w:rPr>
        <w:t>,</w:t>
      </w:r>
      <w:r w:rsidR="009620F1">
        <w:rPr>
          <w:rFonts w:ascii="Century Gothic" w:hAnsi="Century Gothic"/>
          <w:sz w:val="22"/>
          <w:szCs w:val="22"/>
        </w:rPr>
        <w:t xml:space="preserve"> there are subheadings.</w:t>
      </w:r>
    </w:p>
    <w:p w14:paraId="1FCE1207" w14:textId="05EFE7FA" w:rsidR="009620F1" w:rsidRPr="00CE5914" w:rsidRDefault="009F59C7" w:rsidP="009A46F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</w:t>
      </w:r>
      <w:r w:rsidR="009620F1">
        <w:rPr>
          <w:rFonts w:ascii="Century Gothic" w:hAnsi="Century Gothic"/>
          <w:sz w:val="22"/>
          <w:szCs w:val="22"/>
        </w:rPr>
        <w:t>f course</w:t>
      </w:r>
      <w:r w:rsidR="00016D05">
        <w:rPr>
          <w:rFonts w:ascii="Century Gothic" w:hAnsi="Century Gothic"/>
          <w:sz w:val="22"/>
          <w:szCs w:val="22"/>
        </w:rPr>
        <w:t>, there will</w:t>
      </w:r>
      <w:r w:rsidR="009620F1">
        <w:rPr>
          <w:rFonts w:ascii="Century Gothic" w:hAnsi="Century Gothic"/>
          <w:sz w:val="22"/>
          <w:szCs w:val="22"/>
        </w:rPr>
        <w:t xml:space="preserve"> be </w:t>
      </w:r>
      <w:r w:rsidR="00263A7A">
        <w:rPr>
          <w:rFonts w:ascii="Century Gothic" w:hAnsi="Century Gothic"/>
          <w:sz w:val="22"/>
          <w:szCs w:val="22"/>
        </w:rPr>
        <w:t xml:space="preserve">outcomes </w:t>
      </w:r>
      <w:r w:rsidR="00016D05">
        <w:rPr>
          <w:rFonts w:ascii="Century Gothic" w:hAnsi="Century Gothic"/>
          <w:sz w:val="22"/>
          <w:szCs w:val="22"/>
        </w:rPr>
        <w:t>that</w:t>
      </w:r>
      <w:r w:rsidR="00263A7A">
        <w:rPr>
          <w:rFonts w:ascii="Century Gothic" w:hAnsi="Century Gothic"/>
          <w:sz w:val="22"/>
          <w:szCs w:val="22"/>
        </w:rPr>
        <w:t xml:space="preserve"> overlap more than one of the domain headings or subheadings. However, </w:t>
      </w:r>
      <w:r w:rsidR="00526A0F">
        <w:rPr>
          <w:rFonts w:ascii="Century Gothic" w:hAnsi="Century Gothic"/>
          <w:sz w:val="22"/>
          <w:szCs w:val="22"/>
        </w:rPr>
        <w:t>t</w:t>
      </w:r>
      <w:r w:rsidR="004B634E">
        <w:rPr>
          <w:rFonts w:ascii="Century Gothic" w:hAnsi="Century Gothic"/>
          <w:sz w:val="22"/>
          <w:szCs w:val="22"/>
        </w:rPr>
        <w:t>he overall approach of thinking through what Healthwatch achieves using this structure</w:t>
      </w:r>
      <w:r w:rsidR="00EA4E14">
        <w:rPr>
          <w:rFonts w:ascii="Century Gothic" w:hAnsi="Century Gothic"/>
          <w:sz w:val="22"/>
          <w:szCs w:val="22"/>
        </w:rPr>
        <w:t xml:space="preserve"> seems useful.</w:t>
      </w:r>
    </w:p>
    <w:p w14:paraId="02BF14AD" w14:textId="1038F2B2" w:rsidR="009A46F8" w:rsidRPr="00671AF5" w:rsidRDefault="009A46F8" w:rsidP="009A46F8">
      <w:pPr>
        <w:rPr>
          <w:rFonts w:ascii="Century Gothic" w:hAnsi="Century Gothic"/>
          <w:sz w:val="22"/>
          <w:szCs w:val="22"/>
        </w:rPr>
      </w:pPr>
      <w:r w:rsidRPr="00671AF5">
        <w:rPr>
          <w:rFonts w:ascii="Century Gothic" w:hAnsi="Century Gothic"/>
          <w:sz w:val="22"/>
          <w:szCs w:val="22"/>
        </w:rPr>
        <w:t>1. Governance and oversight</w:t>
      </w:r>
      <w:r w:rsidR="00016D05">
        <w:rPr>
          <w:rFonts w:ascii="Century Gothic" w:hAnsi="Century Gothic"/>
          <w:sz w:val="22"/>
          <w:szCs w:val="22"/>
        </w:rPr>
        <w:t>.</w:t>
      </w:r>
    </w:p>
    <w:p w14:paraId="7788D004" w14:textId="2883FBC8" w:rsidR="009A46F8" w:rsidRPr="00671AF5" w:rsidRDefault="009A46F8" w:rsidP="009A46F8">
      <w:pPr>
        <w:rPr>
          <w:rFonts w:ascii="Century Gothic" w:hAnsi="Century Gothic"/>
          <w:sz w:val="22"/>
          <w:szCs w:val="22"/>
        </w:rPr>
      </w:pPr>
      <w:r w:rsidRPr="00671AF5">
        <w:rPr>
          <w:rFonts w:ascii="Century Gothic" w:hAnsi="Century Gothic"/>
          <w:sz w:val="22"/>
          <w:szCs w:val="22"/>
        </w:rPr>
        <w:t>2. Strategic planning and decision-making</w:t>
      </w:r>
      <w:r w:rsidR="00016D05">
        <w:rPr>
          <w:rFonts w:ascii="Century Gothic" w:hAnsi="Century Gothic"/>
          <w:sz w:val="22"/>
          <w:szCs w:val="22"/>
        </w:rPr>
        <w:t>.</w:t>
      </w:r>
    </w:p>
    <w:p w14:paraId="56A118DF" w14:textId="5961BB77" w:rsidR="009A46F8" w:rsidRPr="00671AF5" w:rsidRDefault="009A46F8" w:rsidP="009A46F8">
      <w:pPr>
        <w:rPr>
          <w:rFonts w:ascii="Century Gothic" w:hAnsi="Century Gothic"/>
          <w:sz w:val="22"/>
          <w:szCs w:val="22"/>
        </w:rPr>
      </w:pPr>
      <w:r w:rsidRPr="00671AF5">
        <w:rPr>
          <w:rFonts w:ascii="Century Gothic" w:hAnsi="Century Gothic"/>
          <w:sz w:val="22"/>
          <w:szCs w:val="22"/>
        </w:rPr>
        <w:t>3. Service design, improvement and quality</w:t>
      </w:r>
      <w:r w:rsidR="00016D05">
        <w:rPr>
          <w:rFonts w:ascii="Century Gothic" w:hAnsi="Century Gothic"/>
          <w:sz w:val="22"/>
          <w:szCs w:val="22"/>
        </w:rPr>
        <w:t>.</w:t>
      </w:r>
    </w:p>
    <w:p w14:paraId="7D4417AC" w14:textId="5C2533C8" w:rsidR="009A46F8" w:rsidRPr="00671AF5" w:rsidRDefault="009A46F8" w:rsidP="009A46F8">
      <w:pPr>
        <w:rPr>
          <w:rFonts w:ascii="Century Gothic" w:hAnsi="Century Gothic"/>
          <w:sz w:val="22"/>
          <w:szCs w:val="22"/>
        </w:rPr>
      </w:pPr>
      <w:r w:rsidRPr="00671AF5">
        <w:rPr>
          <w:rFonts w:ascii="Century Gothic" w:hAnsi="Century Gothic"/>
          <w:sz w:val="22"/>
          <w:szCs w:val="22"/>
        </w:rPr>
        <w:t>4. Patient involvement and co-creation</w:t>
      </w:r>
      <w:r w:rsidR="00016D05">
        <w:rPr>
          <w:rFonts w:ascii="Century Gothic" w:hAnsi="Century Gothic"/>
          <w:sz w:val="22"/>
          <w:szCs w:val="22"/>
        </w:rPr>
        <w:t>.</w:t>
      </w:r>
    </w:p>
    <w:p w14:paraId="384D1A92" w14:textId="2949C05F" w:rsidR="009A46F8" w:rsidRPr="00671AF5" w:rsidRDefault="009A46F8" w:rsidP="009A46F8">
      <w:pPr>
        <w:rPr>
          <w:rFonts w:ascii="Century Gothic" w:hAnsi="Century Gothic"/>
          <w:sz w:val="22"/>
          <w:szCs w:val="22"/>
        </w:rPr>
      </w:pPr>
      <w:r w:rsidRPr="00671AF5">
        <w:rPr>
          <w:rFonts w:ascii="Century Gothic" w:hAnsi="Century Gothic"/>
          <w:sz w:val="22"/>
          <w:szCs w:val="22"/>
        </w:rPr>
        <w:t xml:space="preserve">5. Patient safety and regulatory </w:t>
      </w:r>
      <w:r w:rsidR="00842AB6">
        <w:rPr>
          <w:rFonts w:ascii="Century Gothic" w:hAnsi="Century Gothic"/>
          <w:sz w:val="22"/>
          <w:szCs w:val="22"/>
        </w:rPr>
        <w:t>effectiveness</w:t>
      </w:r>
      <w:r w:rsidR="00016D05">
        <w:rPr>
          <w:rFonts w:ascii="Century Gothic" w:hAnsi="Century Gothic"/>
          <w:sz w:val="22"/>
          <w:szCs w:val="22"/>
        </w:rPr>
        <w:t>.</w:t>
      </w:r>
    </w:p>
    <w:p w14:paraId="60013483" w14:textId="10ED39D5" w:rsidR="00AA4F89" w:rsidRDefault="009A46F8" w:rsidP="00AA4F89">
      <w:pPr>
        <w:rPr>
          <w:rFonts w:ascii="Century Gothic" w:hAnsi="Century Gothic"/>
          <w:sz w:val="22"/>
          <w:szCs w:val="22"/>
        </w:rPr>
      </w:pPr>
      <w:r w:rsidRPr="00671AF5">
        <w:rPr>
          <w:rFonts w:ascii="Century Gothic" w:hAnsi="Century Gothic"/>
          <w:sz w:val="22"/>
          <w:szCs w:val="22"/>
        </w:rPr>
        <w:t>6. Communication</w:t>
      </w:r>
      <w:r w:rsidR="00016D05">
        <w:rPr>
          <w:rFonts w:ascii="Century Gothic" w:hAnsi="Century Gothic"/>
          <w:sz w:val="22"/>
          <w:szCs w:val="22"/>
        </w:rPr>
        <w:t>.</w:t>
      </w:r>
    </w:p>
    <w:p w14:paraId="416281D2" w14:textId="67F88427" w:rsidR="00A97A42" w:rsidRPr="00A70303" w:rsidRDefault="00A70303" w:rsidP="00AA4F8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Outcomes achieved </w:t>
      </w:r>
      <w:r w:rsidR="00603F78">
        <w:rPr>
          <w:rFonts w:ascii="Century Gothic" w:hAnsi="Century Gothic"/>
          <w:sz w:val="22"/>
          <w:szCs w:val="22"/>
        </w:rPr>
        <w:t xml:space="preserve">across </w:t>
      </w:r>
      <w:proofErr w:type="gramStart"/>
      <w:r w:rsidR="00603F78">
        <w:rPr>
          <w:rFonts w:ascii="Century Gothic" w:hAnsi="Century Gothic"/>
          <w:sz w:val="22"/>
          <w:szCs w:val="22"/>
        </w:rPr>
        <w:t>all of</w:t>
      </w:r>
      <w:proofErr w:type="gramEnd"/>
      <w:r w:rsidR="00603F78">
        <w:rPr>
          <w:rFonts w:ascii="Century Gothic" w:hAnsi="Century Gothic"/>
          <w:sz w:val="22"/>
          <w:szCs w:val="22"/>
        </w:rPr>
        <w:t xml:space="preserve"> these domains will </w:t>
      </w:r>
      <w:r w:rsidR="0063617E">
        <w:rPr>
          <w:rFonts w:ascii="Century Gothic" w:hAnsi="Century Gothic"/>
          <w:sz w:val="22"/>
          <w:szCs w:val="22"/>
        </w:rPr>
        <w:t>be improving the experience of specific groups of people</w:t>
      </w:r>
      <w:r w:rsidR="00C51B20">
        <w:rPr>
          <w:rFonts w:ascii="Century Gothic" w:hAnsi="Century Gothic"/>
          <w:sz w:val="22"/>
          <w:szCs w:val="22"/>
        </w:rPr>
        <w:t xml:space="preserve">. </w:t>
      </w:r>
      <w:r w:rsidR="00EC4ED8">
        <w:rPr>
          <w:rFonts w:ascii="Century Gothic" w:hAnsi="Century Gothic"/>
          <w:sz w:val="22"/>
          <w:szCs w:val="22"/>
        </w:rPr>
        <w:t>This is reflected in the section below</w:t>
      </w:r>
      <w:r w:rsidR="00BF1960">
        <w:rPr>
          <w:rFonts w:ascii="Century Gothic" w:hAnsi="Century Gothic"/>
          <w:sz w:val="22"/>
          <w:szCs w:val="22"/>
        </w:rPr>
        <w:t xml:space="preserve"> rather than being covered individually within each d</w:t>
      </w:r>
      <w:r w:rsidR="00302373">
        <w:rPr>
          <w:rFonts w:ascii="Century Gothic" w:hAnsi="Century Gothic"/>
          <w:sz w:val="22"/>
          <w:szCs w:val="22"/>
        </w:rPr>
        <w:t>omain heading.</w:t>
      </w:r>
    </w:p>
    <w:p w14:paraId="2DE4FB23" w14:textId="7CE80A0D" w:rsidR="00EA4E14" w:rsidRPr="00DB6E97" w:rsidRDefault="00EA4E14" w:rsidP="00AA4F89">
      <w:pPr>
        <w:rPr>
          <w:rFonts w:ascii="Century Gothic" w:hAnsi="Century Gothic"/>
          <w:b/>
          <w:bCs/>
          <w:sz w:val="22"/>
          <w:szCs w:val="22"/>
        </w:rPr>
      </w:pPr>
      <w:r w:rsidRPr="00DB6E97">
        <w:rPr>
          <w:rFonts w:ascii="Century Gothic" w:hAnsi="Century Gothic"/>
          <w:b/>
          <w:bCs/>
          <w:sz w:val="22"/>
          <w:szCs w:val="22"/>
        </w:rPr>
        <w:t>See Appendix 1 for full details</w:t>
      </w:r>
      <w:r w:rsidR="00302373">
        <w:rPr>
          <w:rFonts w:ascii="Century Gothic" w:hAnsi="Century Gothic"/>
          <w:b/>
          <w:bCs/>
          <w:sz w:val="22"/>
          <w:szCs w:val="22"/>
        </w:rPr>
        <w:t xml:space="preserve"> of the outcome domain headings and sub-headings.</w:t>
      </w:r>
    </w:p>
    <w:p w14:paraId="102D769C" w14:textId="77777777" w:rsidR="00902ADA" w:rsidRDefault="00902ADA" w:rsidP="00AA4F89">
      <w:pPr>
        <w:rPr>
          <w:rFonts w:ascii="Century Gothic" w:hAnsi="Century Gothic"/>
          <w:b/>
          <w:bCs/>
          <w:sz w:val="28"/>
          <w:szCs w:val="28"/>
        </w:rPr>
      </w:pPr>
    </w:p>
    <w:p w14:paraId="21D29803" w14:textId="77777777" w:rsidR="00902ADA" w:rsidRDefault="00902ADA" w:rsidP="00AA4F89">
      <w:pPr>
        <w:rPr>
          <w:rFonts w:ascii="Century Gothic" w:hAnsi="Century Gothic"/>
          <w:b/>
          <w:bCs/>
          <w:sz w:val="28"/>
          <w:szCs w:val="28"/>
        </w:rPr>
      </w:pPr>
    </w:p>
    <w:p w14:paraId="75670F64" w14:textId="77E3D5C9" w:rsidR="00AA4F89" w:rsidRPr="00DF1E37" w:rsidRDefault="00296F80" w:rsidP="00AA4F8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Outcome </w:t>
      </w:r>
      <w:r w:rsidR="00AE28A7">
        <w:rPr>
          <w:rFonts w:ascii="Century Gothic" w:hAnsi="Century Gothic"/>
          <w:b/>
          <w:bCs/>
          <w:sz w:val="28"/>
          <w:szCs w:val="28"/>
        </w:rPr>
        <w:t>Levels</w:t>
      </w:r>
      <w:r>
        <w:rPr>
          <w:rFonts w:ascii="Century Gothic" w:hAnsi="Century Gothic"/>
          <w:b/>
          <w:bCs/>
          <w:sz w:val="28"/>
          <w:szCs w:val="28"/>
        </w:rPr>
        <w:t xml:space="preserve"> and People</w:t>
      </w:r>
      <w:r w:rsidR="00C85E94">
        <w:rPr>
          <w:rFonts w:ascii="Century Gothic" w:hAnsi="Century Gothic"/>
          <w:b/>
          <w:bCs/>
          <w:sz w:val="28"/>
          <w:szCs w:val="28"/>
        </w:rPr>
        <w:t>, and Mechanisms</w:t>
      </w:r>
    </w:p>
    <w:p w14:paraId="3FA70374" w14:textId="5002B786" w:rsidR="00C571B6" w:rsidRDefault="00AE28A7" w:rsidP="00C571B6">
      <w:pPr>
        <w:spacing w:line="24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Levels</w:t>
      </w:r>
      <w:r w:rsidR="00A4742D">
        <w:rPr>
          <w:rFonts w:ascii="Century Gothic" w:hAnsi="Century Gothic"/>
          <w:b/>
          <w:bCs/>
          <w:sz w:val="22"/>
          <w:szCs w:val="22"/>
        </w:rPr>
        <w:t xml:space="preserve"> and People: </w:t>
      </w:r>
      <w:r w:rsidR="004A2E92">
        <w:rPr>
          <w:rFonts w:ascii="Century Gothic" w:hAnsi="Century Gothic"/>
          <w:sz w:val="22"/>
          <w:szCs w:val="22"/>
        </w:rPr>
        <w:t xml:space="preserve">We’ve used the </w:t>
      </w:r>
      <w:r w:rsidR="009B27F2">
        <w:rPr>
          <w:rFonts w:ascii="Century Gothic" w:hAnsi="Century Gothic"/>
          <w:sz w:val="22"/>
          <w:szCs w:val="22"/>
        </w:rPr>
        <w:t>expression ‘</w:t>
      </w:r>
      <w:r>
        <w:rPr>
          <w:rFonts w:ascii="Century Gothic" w:hAnsi="Century Gothic"/>
          <w:sz w:val="22"/>
          <w:szCs w:val="22"/>
        </w:rPr>
        <w:t>levels</w:t>
      </w:r>
      <w:r w:rsidR="009B27F2">
        <w:rPr>
          <w:rFonts w:ascii="Century Gothic" w:hAnsi="Century Gothic"/>
          <w:sz w:val="22"/>
          <w:szCs w:val="22"/>
        </w:rPr>
        <w:t xml:space="preserve"> and people’</w:t>
      </w:r>
      <w:r w:rsidR="004A2E92">
        <w:rPr>
          <w:rFonts w:ascii="Century Gothic" w:hAnsi="Century Gothic"/>
          <w:sz w:val="22"/>
          <w:szCs w:val="22"/>
        </w:rPr>
        <w:t xml:space="preserve"> here to </w:t>
      </w:r>
      <w:r w:rsidR="00666A30">
        <w:rPr>
          <w:rFonts w:ascii="Century Gothic" w:hAnsi="Century Gothic"/>
          <w:sz w:val="22"/>
          <w:szCs w:val="22"/>
        </w:rPr>
        <w:t xml:space="preserve">try to </w:t>
      </w:r>
      <w:r w:rsidR="004A2E92">
        <w:rPr>
          <w:rFonts w:ascii="Century Gothic" w:hAnsi="Century Gothic"/>
          <w:sz w:val="22"/>
          <w:szCs w:val="22"/>
        </w:rPr>
        <w:t xml:space="preserve">describe </w:t>
      </w:r>
      <w:r w:rsidR="00666A30">
        <w:rPr>
          <w:rFonts w:ascii="Century Gothic" w:hAnsi="Century Gothic"/>
          <w:sz w:val="22"/>
          <w:szCs w:val="22"/>
        </w:rPr>
        <w:t xml:space="preserve">the system level at which </w:t>
      </w:r>
      <w:r w:rsidR="00750AEC">
        <w:rPr>
          <w:rFonts w:ascii="Century Gothic" w:hAnsi="Century Gothic"/>
          <w:sz w:val="22"/>
          <w:szCs w:val="22"/>
        </w:rPr>
        <w:t>an outcome</w:t>
      </w:r>
      <w:r w:rsidR="00270CD3">
        <w:rPr>
          <w:rFonts w:ascii="Century Gothic" w:hAnsi="Century Gothic"/>
          <w:sz w:val="22"/>
          <w:szCs w:val="22"/>
        </w:rPr>
        <w:t xml:space="preserve"> within one of the domains might</w:t>
      </w:r>
      <w:r w:rsidR="00C66F14">
        <w:rPr>
          <w:rFonts w:ascii="Century Gothic" w:hAnsi="Century Gothic"/>
          <w:sz w:val="22"/>
          <w:szCs w:val="22"/>
        </w:rPr>
        <w:t xml:space="preserve"> take effect</w:t>
      </w:r>
      <w:r w:rsidR="005075B4">
        <w:rPr>
          <w:rFonts w:ascii="Century Gothic" w:hAnsi="Century Gothic"/>
          <w:sz w:val="22"/>
          <w:szCs w:val="22"/>
        </w:rPr>
        <w:t xml:space="preserve">, alongside the </w:t>
      </w:r>
      <w:r w:rsidR="005B0BEA">
        <w:rPr>
          <w:rFonts w:ascii="Century Gothic" w:hAnsi="Century Gothic"/>
          <w:sz w:val="22"/>
          <w:szCs w:val="22"/>
        </w:rPr>
        <w:t xml:space="preserve">profile of the members of the community who </w:t>
      </w:r>
      <w:r w:rsidR="00C66F14">
        <w:rPr>
          <w:rFonts w:ascii="Century Gothic" w:hAnsi="Century Gothic"/>
          <w:sz w:val="22"/>
          <w:szCs w:val="22"/>
        </w:rPr>
        <w:t>benefit from the positive change</w:t>
      </w:r>
      <w:r w:rsidR="008B7AB9">
        <w:rPr>
          <w:rFonts w:ascii="Century Gothic" w:hAnsi="Century Gothic"/>
          <w:sz w:val="22"/>
          <w:szCs w:val="22"/>
        </w:rPr>
        <w:t>.</w:t>
      </w:r>
    </w:p>
    <w:p w14:paraId="6FBCFB57" w14:textId="4353D9AE" w:rsidR="008B7AB9" w:rsidRDefault="00A4742D" w:rsidP="00C571B6">
      <w:pPr>
        <w:spacing w:line="24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Mechanisms: </w:t>
      </w:r>
      <w:r w:rsidR="008B7AB9">
        <w:rPr>
          <w:rFonts w:ascii="Century Gothic" w:hAnsi="Century Gothic"/>
          <w:sz w:val="22"/>
          <w:szCs w:val="22"/>
        </w:rPr>
        <w:t xml:space="preserve">We’ve used the word ‘mechanisms’ here </w:t>
      </w:r>
      <w:r w:rsidR="0063480C">
        <w:rPr>
          <w:rFonts w:ascii="Century Gothic" w:hAnsi="Century Gothic"/>
          <w:sz w:val="22"/>
          <w:szCs w:val="22"/>
        </w:rPr>
        <w:t xml:space="preserve">as </w:t>
      </w:r>
      <w:r w:rsidR="0081773C">
        <w:rPr>
          <w:rFonts w:ascii="Century Gothic" w:hAnsi="Century Gothic"/>
          <w:sz w:val="22"/>
          <w:szCs w:val="22"/>
        </w:rPr>
        <w:t xml:space="preserve">it’s a term already used in an existing framework to help think about the different types of interaction </w:t>
      </w:r>
      <w:r w:rsidR="00F5581D">
        <w:rPr>
          <w:rFonts w:ascii="Century Gothic" w:hAnsi="Century Gothic"/>
          <w:sz w:val="22"/>
          <w:szCs w:val="22"/>
        </w:rPr>
        <w:t>between organisations that lead to outcomes.</w:t>
      </w:r>
    </w:p>
    <w:p w14:paraId="5A2DC0C0" w14:textId="36809145" w:rsidR="00F5581D" w:rsidRDefault="006751A0" w:rsidP="00C571B6">
      <w:pPr>
        <w:spacing w:line="24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As conversations about our outcome domains have progressed, we’ve often </w:t>
      </w:r>
      <w:r w:rsidR="00A6065F">
        <w:rPr>
          <w:rFonts w:ascii="Century Gothic" w:hAnsi="Century Gothic"/>
          <w:sz w:val="22"/>
          <w:szCs w:val="22"/>
        </w:rPr>
        <w:t>reached</w:t>
      </w:r>
      <w:r>
        <w:rPr>
          <w:rFonts w:ascii="Century Gothic" w:hAnsi="Century Gothic"/>
          <w:sz w:val="22"/>
          <w:szCs w:val="22"/>
        </w:rPr>
        <w:t xml:space="preserve"> the point where </w:t>
      </w:r>
      <w:r w:rsidR="00D94D7E">
        <w:rPr>
          <w:rFonts w:ascii="Century Gothic" w:hAnsi="Century Gothic"/>
          <w:sz w:val="22"/>
          <w:szCs w:val="22"/>
        </w:rPr>
        <w:t>these two concepts have started to</w:t>
      </w:r>
      <w:r w:rsidR="00012000">
        <w:rPr>
          <w:rFonts w:ascii="Century Gothic" w:hAnsi="Century Gothic"/>
          <w:sz w:val="22"/>
          <w:szCs w:val="22"/>
        </w:rPr>
        <w:t xml:space="preserve"> overlap and seem essential to </w:t>
      </w:r>
      <w:r w:rsidR="001E7601">
        <w:rPr>
          <w:rFonts w:ascii="Century Gothic" w:hAnsi="Century Gothic"/>
          <w:sz w:val="22"/>
          <w:szCs w:val="22"/>
        </w:rPr>
        <w:t>also consider.</w:t>
      </w:r>
    </w:p>
    <w:p w14:paraId="1E794F69" w14:textId="016D3A09" w:rsidR="00DF1E37" w:rsidRDefault="001E7601" w:rsidP="00AA4F89">
      <w:pPr>
        <w:spacing w:line="24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We’re interested in looking at </w:t>
      </w:r>
      <w:r w:rsidR="007A70C2">
        <w:rPr>
          <w:rFonts w:ascii="Century Gothic" w:hAnsi="Century Gothic"/>
          <w:sz w:val="22"/>
          <w:szCs w:val="22"/>
        </w:rPr>
        <w:t xml:space="preserve">how best to use them </w:t>
      </w:r>
      <w:r w:rsidR="00B10398">
        <w:rPr>
          <w:rFonts w:ascii="Century Gothic" w:hAnsi="Century Gothic"/>
          <w:sz w:val="22"/>
          <w:szCs w:val="22"/>
        </w:rPr>
        <w:t>to achieve the overall aims we’ve summarised on page 2.</w:t>
      </w:r>
    </w:p>
    <w:p w14:paraId="1CB86617" w14:textId="77777777" w:rsidR="00DF1E37" w:rsidRDefault="00DF1E37" w:rsidP="00AA4F89">
      <w:pPr>
        <w:spacing w:line="240" w:lineRule="auto"/>
        <w:rPr>
          <w:rFonts w:ascii="Century Gothic" w:hAnsi="Century Gothic"/>
          <w:sz w:val="22"/>
          <w:szCs w:val="22"/>
        </w:rPr>
      </w:pPr>
    </w:p>
    <w:p w14:paraId="1AD5DA0A" w14:textId="7615180A" w:rsidR="00902ADA" w:rsidRDefault="00EA4E14" w:rsidP="00F86EE2">
      <w:pPr>
        <w:spacing w:line="240" w:lineRule="auto"/>
        <w:rPr>
          <w:rFonts w:ascii="Century Gothic" w:hAnsi="Century Gothic"/>
          <w:b/>
          <w:bCs/>
          <w:sz w:val="22"/>
          <w:szCs w:val="22"/>
        </w:rPr>
        <w:sectPr w:rsidR="00902ADA" w:rsidSect="00AB45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B6E97">
        <w:rPr>
          <w:rFonts w:ascii="Century Gothic" w:hAnsi="Century Gothic"/>
          <w:b/>
          <w:bCs/>
          <w:sz w:val="22"/>
          <w:szCs w:val="22"/>
        </w:rPr>
        <w:t xml:space="preserve">See Appendices 2 and </w:t>
      </w:r>
      <w:r w:rsidR="00DB6E97" w:rsidRPr="00DB6E97">
        <w:rPr>
          <w:rFonts w:ascii="Century Gothic" w:hAnsi="Century Gothic"/>
          <w:b/>
          <w:bCs/>
          <w:sz w:val="22"/>
          <w:szCs w:val="22"/>
        </w:rPr>
        <w:t xml:space="preserve">3 </w:t>
      </w:r>
      <w:r w:rsidRPr="00DB6E97">
        <w:rPr>
          <w:rFonts w:ascii="Century Gothic" w:hAnsi="Century Gothic"/>
          <w:b/>
          <w:bCs/>
          <w:sz w:val="22"/>
          <w:szCs w:val="22"/>
        </w:rPr>
        <w:t>for full details</w:t>
      </w:r>
      <w:r w:rsidR="00F96DAF">
        <w:rPr>
          <w:rFonts w:ascii="Century Gothic" w:hAnsi="Century Gothic"/>
          <w:b/>
          <w:bCs/>
          <w:sz w:val="22"/>
          <w:szCs w:val="22"/>
        </w:rPr>
        <w:t xml:space="preserve"> about </w:t>
      </w:r>
      <w:r w:rsidR="004735EC">
        <w:rPr>
          <w:rFonts w:ascii="Century Gothic" w:hAnsi="Century Gothic"/>
          <w:b/>
          <w:bCs/>
          <w:sz w:val="22"/>
          <w:szCs w:val="22"/>
        </w:rPr>
        <w:t>Levels and People</w:t>
      </w:r>
      <w:r w:rsidR="00F96DAF">
        <w:rPr>
          <w:rFonts w:ascii="Century Gothic" w:hAnsi="Century Gothic"/>
          <w:b/>
          <w:bCs/>
          <w:sz w:val="22"/>
          <w:szCs w:val="22"/>
        </w:rPr>
        <w:t>, and Mechanisms.</w:t>
      </w:r>
    </w:p>
    <w:p w14:paraId="28ECEF13" w14:textId="77777777" w:rsidR="00781FF6" w:rsidRDefault="00781FF6" w:rsidP="00902ADA">
      <w:pPr>
        <w:rPr>
          <w:rFonts w:ascii="Century Gothic" w:hAnsi="Century Gothic"/>
          <w:b/>
          <w:bCs/>
          <w:sz w:val="22"/>
          <w:szCs w:val="22"/>
        </w:rPr>
      </w:pPr>
    </w:p>
    <w:p w14:paraId="208EF09F" w14:textId="77777777" w:rsidR="00902ADA" w:rsidRPr="00902ADA" w:rsidRDefault="00902ADA" w:rsidP="00902ADA">
      <w:pPr>
        <w:rPr>
          <w:rFonts w:ascii="Century Gothic" w:hAnsi="Century Gothic"/>
          <w:sz w:val="22"/>
          <w:szCs w:val="22"/>
        </w:rPr>
      </w:pPr>
    </w:p>
    <w:p w14:paraId="0BB6D66D" w14:textId="77777777" w:rsidR="00902ADA" w:rsidRPr="00902ADA" w:rsidRDefault="00902ADA" w:rsidP="00902ADA">
      <w:pPr>
        <w:rPr>
          <w:rFonts w:ascii="Century Gothic" w:hAnsi="Century Gothic"/>
          <w:sz w:val="22"/>
          <w:szCs w:val="22"/>
        </w:rPr>
      </w:pPr>
    </w:p>
    <w:p w14:paraId="1B93B01E" w14:textId="77777777" w:rsidR="00902ADA" w:rsidRPr="00902ADA" w:rsidRDefault="00902ADA" w:rsidP="00902ADA">
      <w:pPr>
        <w:rPr>
          <w:rFonts w:ascii="Century Gothic" w:hAnsi="Century Gothic"/>
          <w:sz w:val="22"/>
          <w:szCs w:val="22"/>
        </w:rPr>
      </w:pPr>
    </w:p>
    <w:p w14:paraId="7F117CD4" w14:textId="77777777" w:rsidR="00902ADA" w:rsidRPr="00902ADA" w:rsidRDefault="00902ADA" w:rsidP="00902ADA">
      <w:pPr>
        <w:rPr>
          <w:rFonts w:ascii="Century Gothic" w:hAnsi="Century Gothic"/>
          <w:sz w:val="22"/>
          <w:szCs w:val="22"/>
        </w:rPr>
      </w:pPr>
    </w:p>
    <w:p w14:paraId="50CD53C3" w14:textId="77777777" w:rsidR="00902ADA" w:rsidRPr="00902ADA" w:rsidRDefault="00902ADA" w:rsidP="00902ADA">
      <w:pPr>
        <w:rPr>
          <w:rFonts w:ascii="Century Gothic" w:hAnsi="Century Gothic"/>
          <w:sz w:val="22"/>
          <w:szCs w:val="22"/>
        </w:rPr>
      </w:pPr>
    </w:p>
    <w:p w14:paraId="30728D86" w14:textId="77777777" w:rsidR="00902ADA" w:rsidRPr="00902ADA" w:rsidRDefault="00902ADA" w:rsidP="00902ADA">
      <w:pPr>
        <w:rPr>
          <w:rFonts w:ascii="Century Gothic" w:hAnsi="Century Gothic"/>
          <w:sz w:val="22"/>
          <w:szCs w:val="22"/>
        </w:rPr>
      </w:pPr>
    </w:p>
    <w:p w14:paraId="2949A16B" w14:textId="77777777" w:rsidR="00902ADA" w:rsidRPr="00902ADA" w:rsidRDefault="00902ADA" w:rsidP="00902ADA">
      <w:pPr>
        <w:rPr>
          <w:rFonts w:ascii="Century Gothic" w:hAnsi="Century Gothic"/>
          <w:sz w:val="22"/>
          <w:szCs w:val="22"/>
        </w:rPr>
      </w:pPr>
    </w:p>
    <w:p w14:paraId="24181834" w14:textId="77777777" w:rsidR="00902ADA" w:rsidRDefault="00902ADA" w:rsidP="00902ADA">
      <w:pPr>
        <w:rPr>
          <w:rFonts w:ascii="Century Gothic" w:hAnsi="Century Gothic"/>
          <w:b/>
          <w:bCs/>
          <w:sz w:val="22"/>
          <w:szCs w:val="22"/>
        </w:rPr>
      </w:pPr>
    </w:p>
    <w:p w14:paraId="53BF441B" w14:textId="3A513EA5" w:rsidR="00902ADA" w:rsidRDefault="00902ADA" w:rsidP="00902ADA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3600B">
        <w:rPr>
          <w:rFonts w:ascii="Century Gothic" w:hAnsi="Century Gothic"/>
          <w:b/>
          <w:bCs/>
          <w:sz w:val="28"/>
          <w:szCs w:val="28"/>
        </w:rPr>
        <w:t xml:space="preserve">Appendix 1: </w:t>
      </w:r>
      <w:r>
        <w:rPr>
          <w:rFonts w:ascii="Century Gothic" w:hAnsi="Century Gothic"/>
          <w:b/>
          <w:bCs/>
          <w:sz w:val="28"/>
          <w:szCs w:val="28"/>
        </w:rPr>
        <w:t xml:space="preserve">The </w:t>
      </w:r>
      <w:r w:rsidRPr="0063600B">
        <w:rPr>
          <w:rFonts w:ascii="Century Gothic" w:hAnsi="Century Gothic"/>
          <w:b/>
          <w:bCs/>
          <w:sz w:val="28"/>
          <w:szCs w:val="28"/>
        </w:rPr>
        <w:t>Outcome Domains</w:t>
      </w:r>
    </w:p>
    <w:p w14:paraId="09B78E37" w14:textId="6BA4B3CC" w:rsidR="00902ADA" w:rsidRDefault="00902ADA" w:rsidP="00902ADA">
      <w:pPr>
        <w:tabs>
          <w:tab w:val="left" w:pos="5177"/>
        </w:tabs>
        <w:rPr>
          <w:rFonts w:ascii="Century Gothic" w:hAnsi="Century Gothic"/>
          <w:b/>
          <w:bCs/>
          <w:sz w:val="22"/>
          <w:szCs w:val="22"/>
        </w:rPr>
      </w:pPr>
    </w:p>
    <w:p w14:paraId="69B214F3" w14:textId="61D77FA9" w:rsidR="00902ADA" w:rsidRPr="00902ADA" w:rsidRDefault="00902ADA" w:rsidP="00902ADA">
      <w:pPr>
        <w:tabs>
          <w:tab w:val="left" w:pos="5177"/>
        </w:tabs>
        <w:rPr>
          <w:rFonts w:ascii="Century Gothic" w:hAnsi="Century Gothic"/>
          <w:sz w:val="22"/>
          <w:szCs w:val="22"/>
        </w:rPr>
        <w:sectPr w:rsidR="00902ADA" w:rsidRPr="00902ADA" w:rsidSect="00902AD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entury Gothic" w:hAnsi="Century Gothic"/>
          <w:sz w:val="22"/>
          <w:szCs w:val="22"/>
        </w:rPr>
        <w:tab/>
      </w:r>
    </w:p>
    <w:tbl>
      <w:tblPr>
        <w:tblpPr w:leftFromText="180" w:rightFromText="180" w:vertAnchor="page" w:horzAnchor="margin" w:tblpY="1816"/>
        <w:tblW w:w="14312" w:type="dxa"/>
        <w:tblLook w:val="04A0" w:firstRow="1" w:lastRow="0" w:firstColumn="1" w:lastColumn="0" w:noHBand="0" w:noVBand="1"/>
      </w:tblPr>
      <w:tblGrid>
        <w:gridCol w:w="4673"/>
        <w:gridCol w:w="4536"/>
        <w:gridCol w:w="5103"/>
      </w:tblGrid>
      <w:tr w:rsidR="00DC365E" w:rsidRPr="00DC365E" w14:paraId="1E35BB67" w14:textId="77777777" w:rsidTr="773098AB">
        <w:trPr>
          <w:trHeight w:val="29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2A3DA" w14:textId="342715BC" w:rsidR="00DC365E" w:rsidRPr="00DC365E" w:rsidRDefault="00C5763B" w:rsidP="00882D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Domain </w:t>
            </w:r>
            <w:r w:rsidR="00DC365E" w:rsidRPr="00DC365E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  <w:r w:rsidR="00DC365E" w:rsidRPr="00DC365E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Governance and oversight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4A9E7" w14:textId="49569E82" w:rsidR="00DC365E" w:rsidRPr="00DC365E" w:rsidRDefault="00C76434" w:rsidP="00882D2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how we do this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66D63D" w14:textId="64C46AF6" w:rsidR="00DC365E" w:rsidRPr="00DC365E" w:rsidRDefault="00FA0C38" w:rsidP="00882D2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impact and any recognised measures</w:t>
            </w:r>
          </w:p>
        </w:tc>
      </w:tr>
      <w:tr w:rsidR="00DC365E" w:rsidRPr="00DC365E" w14:paraId="33D00FBF" w14:textId="77777777" w:rsidTr="773098AB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1EB6" w14:textId="2B2F51BD" w:rsidR="00DC365E" w:rsidRPr="00DC365E" w:rsidRDefault="000D4FC7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Establishing g</w:t>
            </w:r>
            <w:r w:rsidR="00DC365E"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overnance structure</w:t>
            </w:r>
            <w:r w:rsidR="008F278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s, processes and procedures.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0A7E" w14:textId="64FA5032" w:rsidR="00DC365E" w:rsidRDefault="62725DAC" w:rsidP="773098AB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773098AB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="00A00246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[This will only be on the less frequent occasions when these structures, processes and procedures are being </w:t>
            </w:r>
            <w:r w:rsidR="00F62D26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set up. What </w:t>
            </w:r>
            <w:r w:rsidR="004232B2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are the best </w:t>
            </w:r>
            <w:r w:rsidR="00F62D26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examples can we include here of how Healthwatch have influenced when this has </w:t>
            </w:r>
            <w:r w:rsidR="004232B2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happened?]</w:t>
            </w:r>
          </w:p>
          <w:p w14:paraId="6874E6D5" w14:textId="77777777" w:rsidR="006D46B6" w:rsidRDefault="006D46B6" w:rsidP="773098AB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BE89854" w14:textId="44DFFF5D" w:rsidR="00DC365E" w:rsidRPr="00C776CD" w:rsidRDefault="00DC365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i/>
                <w:iCs/>
                <w:color w:val="000000" w:themeColor="text1"/>
                <w:sz w:val="22"/>
                <w:szCs w:val="22"/>
                <w:highlight w:val="yellow"/>
                <w:lang w:eastAsia="en-GB"/>
              </w:rPr>
            </w:pPr>
          </w:p>
          <w:p w14:paraId="0B9DD9C1" w14:textId="681565C0" w:rsidR="00DC365E" w:rsidRPr="00C776CD" w:rsidRDefault="00DC365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highlight w:val="yellow"/>
                <w:lang w:eastAsia="en-GB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65FA" w14:textId="3B8B04A5" w:rsidR="00DC365E" w:rsidRPr="00DC365E" w:rsidRDefault="00DC365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Stronger oversight, scrutiny and direction of </w:t>
            </w:r>
            <w:r w:rsidR="00FB09F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strategies and plans</w:t>
            </w:r>
            <w:r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 improve patient experience.</w:t>
            </w:r>
          </w:p>
        </w:tc>
      </w:tr>
      <w:tr w:rsidR="00DC365E" w:rsidRPr="00DC365E" w14:paraId="743C29B3" w14:textId="77777777" w:rsidTr="773098AB">
        <w:trPr>
          <w:trHeight w:val="57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BCDF" w14:textId="77777777" w:rsidR="00DC365E" w:rsidRPr="00DC365E" w:rsidRDefault="00DC365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Requirements to consult with the public and consider equity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1726" w14:textId="77777777" w:rsidR="0014082C" w:rsidRDefault="005818CD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Identify when </w:t>
            </w:r>
            <w:r w:rsidR="00C7315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service commissioner or provider should involve</w:t>
            </w:r>
            <w:r w:rsidR="000732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public about a service change and</w:t>
            </w:r>
            <w:r w:rsidR="004A3A4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7244D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ask if that’s happened.</w:t>
            </w:r>
          </w:p>
          <w:p w14:paraId="5E278A9C" w14:textId="77777777" w:rsidR="0014082C" w:rsidRDefault="0014082C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6D8A339" w14:textId="5B56D326" w:rsidR="00DC365E" w:rsidRDefault="00886E5D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Support and promote the opportunity to be involved in public consultation.</w:t>
            </w:r>
            <w:r w:rsidR="00C0702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</w:p>
          <w:p w14:paraId="28869ECA" w14:textId="4B8C3A3E" w:rsidR="007244D7" w:rsidRPr="00DC365E" w:rsidRDefault="007244D7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Ask to see Equality Impact Assessments relating to service changes</w:t>
            </w:r>
            <w:r w:rsidR="00C0702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ask questions about them.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6E27" w14:textId="5B6A72BA" w:rsidR="00F2795C" w:rsidRDefault="00C91E04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Greater public t</w:t>
            </w:r>
            <w:r w:rsidR="00DC365E"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ransparency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</w:t>
            </w:r>
            <w:r w:rsidR="00DC365E"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involvement for the public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 decisions made about their services.</w:t>
            </w:r>
            <w:r w:rsidR="00252F2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Greater opportunity for seldom heard groups to </w:t>
            </w:r>
            <w:r w:rsidR="0053694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influence decisions made.</w:t>
            </w:r>
          </w:p>
          <w:p w14:paraId="4604F6B2" w14:textId="77777777" w:rsidR="00F2795C" w:rsidRDefault="00F2795C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3A22393" w14:textId="77777777" w:rsidR="00F2795C" w:rsidRDefault="00F2795C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="00DC365E"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educed health inequalities.</w:t>
            </w:r>
          </w:p>
          <w:p w14:paraId="5006E6D2" w14:textId="77777777" w:rsidR="00C9072D" w:rsidRDefault="00C9072D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3D5F289" w14:textId="0BAAA830" w:rsidR="00C9072D" w:rsidRDefault="00B51E8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System partners meet statutory requirements and don’t have to repeat </w:t>
            </w:r>
            <w:r w:rsidR="005E604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exercises they’ve undertaken.</w:t>
            </w:r>
          </w:p>
          <w:p w14:paraId="6C44371C" w14:textId="77777777" w:rsidR="00F2795C" w:rsidRDefault="00F2795C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F8674D0" w14:textId="2084A340" w:rsidR="00DC365E" w:rsidRPr="00DC365E" w:rsidRDefault="00A90A11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should we describe the sort of outcome achieved if the holding to account leads to identifying significant shortcomings in</w:t>
            </w:r>
            <w:r w:rsidR="0014082C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what’s been done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r w:rsidR="0014082C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nd/or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significant change</w:t>
            </w:r>
            <w:r w:rsidR="0014082C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 to what was going to happen?</w:t>
            </w:r>
          </w:p>
        </w:tc>
      </w:tr>
      <w:tr w:rsidR="00DC365E" w:rsidRPr="00DC365E" w14:paraId="398ABE0C" w14:textId="77777777" w:rsidTr="773098AB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A593" w14:textId="77777777" w:rsidR="00DC365E" w:rsidRPr="00DC365E" w:rsidRDefault="00DC365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Support to Health Overview and Scrutiny Committee and Health and Wellbeing Board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C176" w14:textId="4A113964" w:rsidR="00DC365E" w:rsidRPr="00F84B67" w:rsidRDefault="00841A49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Healthwatch using </w:t>
            </w:r>
            <w:r w:rsidR="005A33B9"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its seat to share insight</w:t>
            </w:r>
            <w:r w:rsidR="00B70390"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share local people’s concerns</w:t>
            </w:r>
            <w:r w:rsidR="000D320F"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that only it has heard, and challenge</w:t>
            </w:r>
            <w:r w:rsidR="005A33B9"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where appropriate.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832B" w14:textId="20DF67FE" w:rsidR="00DC365E" w:rsidRPr="00F84B67" w:rsidRDefault="009A535F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Increase </w:t>
            </w:r>
            <w:r w:rsidR="008D3C7E"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Committee and Board members </w:t>
            </w:r>
            <w:r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understanding of what service changes mean to individual</w:t>
            </w:r>
            <w:r w:rsidR="008D3C7E"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resid</w:t>
            </w:r>
            <w:r w:rsidR="00F84B67"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ents.</w:t>
            </w:r>
          </w:p>
        </w:tc>
      </w:tr>
      <w:tr w:rsidR="00DC365E" w:rsidRPr="00DC365E" w14:paraId="003BCDDB" w14:textId="77777777" w:rsidTr="773098AB">
        <w:trPr>
          <w:trHeight w:val="6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9965" w14:textId="77777777" w:rsidR="00DC365E" w:rsidRPr="00DC365E" w:rsidRDefault="00DC365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The scrutiny role of elected representatives and supporting constituents' interests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A5B4" w14:textId="72DDBF1A" w:rsidR="00DC365E" w:rsidRDefault="00DC365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Helping decision makers understand health</w:t>
            </w:r>
            <w:r w:rsidR="00FA166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care services</w:t>
            </w:r>
            <w:r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user perspectives</w:t>
            </w:r>
            <w:r w:rsidR="009A5C5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0867372D" w14:textId="77777777" w:rsidR="002A0AC5" w:rsidRDefault="002A0AC5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76E72A8" w14:textId="66284E45" w:rsidR="002A0AC5" w:rsidRPr="00DC365E" w:rsidRDefault="002A0AC5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Sharing Healthwatch data</w:t>
            </w:r>
            <w:r w:rsidR="00445FE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955C" w14:textId="32F09DAF" w:rsidR="00DC365E" w:rsidRPr="00DC365E" w:rsidRDefault="00FA166D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Elected representatives better understand </w:t>
            </w:r>
            <w:r w:rsidR="009C65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their </w:t>
            </w:r>
            <w:proofErr w:type="gramStart"/>
            <w:r w:rsidR="009C65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constituents</w:t>
            </w:r>
            <w:proofErr w:type="gramEnd"/>
            <w:r w:rsidR="009C65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experience</w:t>
            </w:r>
            <w:r w:rsidR="009C65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services and </w:t>
            </w:r>
            <w:r w:rsidR="009C65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impact on their wider lives so they can</w:t>
            </w:r>
            <w:r w:rsidR="00E4444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make bett</w:t>
            </w:r>
            <w:r w:rsidR="00B31F6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 decisions and advocate in their interests.</w:t>
            </w:r>
          </w:p>
        </w:tc>
      </w:tr>
    </w:tbl>
    <w:p w14:paraId="153E3B84" w14:textId="77777777" w:rsidR="00DC5327" w:rsidRDefault="00DC5327" w:rsidP="00196457">
      <w:pPr>
        <w:rPr>
          <w:rFonts w:ascii="Century Gothic" w:hAnsi="Century Gothic"/>
          <w:b/>
          <w:bCs/>
          <w:sz w:val="28"/>
          <w:szCs w:val="28"/>
        </w:rPr>
      </w:pPr>
    </w:p>
    <w:p w14:paraId="7739FAED" w14:textId="77777777" w:rsidR="00625AA6" w:rsidRDefault="00625AA6" w:rsidP="00196457">
      <w:pPr>
        <w:rPr>
          <w:rFonts w:ascii="Century Gothic" w:hAnsi="Century Gothic"/>
          <w:b/>
          <w:bCs/>
          <w:sz w:val="28"/>
          <w:szCs w:val="28"/>
        </w:rPr>
      </w:pPr>
    </w:p>
    <w:p w14:paraId="414FC0F3" w14:textId="77777777" w:rsidR="00625AA6" w:rsidRDefault="00625AA6" w:rsidP="00196457">
      <w:pPr>
        <w:rPr>
          <w:rFonts w:ascii="Century Gothic" w:hAnsi="Century Gothic"/>
          <w:b/>
          <w:bCs/>
          <w:sz w:val="28"/>
          <w:szCs w:val="28"/>
        </w:rPr>
      </w:pPr>
    </w:p>
    <w:p w14:paraId="1ED7E030" w14:textId="77777777" w:rsidR="00625AA6" w:rsidRPr="0063600B" w:rsidRDefault="00625AA6" w:rsidP="00196457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4673"/>
        <w:gridCol w:w="4536"/>
        <w:gridCol w:w="5103"/>
      </w:tblGrid>
      <w:tr w:rsidR="00F30977" w:rsidRPr="00327D55" w14:paraId="4D8337AD" w14:textId="77777777" w:rsidTr="00C977CE">
        <w:trPr>
          <w:trHeight w:val="29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488F2F" w14:textId="4AC7675D" w:rsidR="00F30977" w:rsidRPr="00327D55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Domain 2:</w:t>
            </w:r>
            <w:r w:rsidRPr="00327D5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Strategic planning and decision-making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A9FCC7" w14:textId="6749C867" w:rsidR="00F30977" w:rsidRPr="00327D55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how we do this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533E21" w14:textId="7E17C1D6" w:rsidR="00F30977" w:rsidRPr="00327D55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Examples of impact and </w:t>
            </w:r>
            <w:r w:rsidR="00FA0C38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any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recognised measures</w:t>
            </w:r>
          </w:p>
        </w:tc>
      </w:tr>
      <w:tr w:rsidR="005636F9" w:rsidRPr="00327D55" w14:paraId="39B0CD00" w14:textId="77777777" w:rsidTr="00C977CE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D0D3" w14:textId="77777777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Content of strategies and plans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F47D" w14:textId="553F6C28" w:rsidR="005636F9" w:rsidRPr="00327D55" w:rsidRDefault="000E3303" w:rsidP="00B31F6B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Present </w:t>
            </w:r>
            <w:r w:rsidR="006E698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Healthwatch </w:t>
            </w:r>
            <w:r w:rsidR="00BC11B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insight to bodies that are</w:t>
            </w:r>
            <w:r w:rsidR="00D369D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setting strategies and plans </w:t>
            </w:r>
            <w:r w:rsidR="00D90CD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and </w:t>
            </w:r>
            <w:r w:rsidR="00791D2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ask them to address issues identified in what they produce.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1DF9" w14:textId="0323E924" w:rsidR="005636F9" w:rsidRPr="00327D55" w:rsidRDefault="005636F9" w:rsidP="00B314A5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Better targeting of resources including</w:t>
            </w:r>
            <w:r w:rsidR="00CC257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address</w:t>
            </w:r>
            <w:r w:rsidR="00CC257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health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inequalities.</w:t>
            </w:r>
          </w:p>
        </w:tc>
      </w:tr>
    </w:tbl>
    <w:p w14:paraId="509877C9" w14:textId="77777777" w:rsidR="00D22879" w:rsidRDefault="00D22879" w:rsidP="00196457">
      <w:pPr>
        <w:rPr>
          <w:rFonts w:ascii="Century Gothic" w:hAnsi="Century Gothic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4673"/>
        <w:gridCol w:w="4536"/>
        <w:gridCol w:w="5103"/>
      </w:tblGrid>
      <w:tr w:rsidR="00F30977" w:rsidRPr="00327D55" w14:paraId="0F60CF53" w14:textId="77777777" w:rsidTr="00902C90">
        <w:trPr>
          <w:trHeight w:val="293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E88CFE" w14:textId="54642F2E" w:rsidR="00F30977" w:rsidRPr="00327D55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Domain 3:</w:t>
            </w:r>
            <w:r w:rsidRPr="00327D5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Service design, improvement and quality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75EC08" w14:textId="1B726C8A" w:rsidR="00F30977" w:rsidRPr="00327D55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how we do this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EC96C6" w14:textId="1A64BE78" w:rsidR="00F30977" w:rsidRPr="00327D55" w:rsidRDefault="00FA0C38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impact and any recognised measures</w:t>
            </w:r>
          </w:p>
        </w:tc>
      </w:tr>
      <w:tr w:rsidR="005636F9" w:rsidRPr="00327D55" w14:paraId="5E5B10E3" w14:textId="77777777" w:rsidTr="00C977CE">
        <w:trPr>
          <w:trHeight w:val="57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5FC4" w14:textId="77777777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Design and specification of a commissioned service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375E" w14:textId="52D375E2" w:rsidR="00D1376C" w:rsidRDefault="001C194D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="00D1376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eport insight from research and engagement activity</w:t>
            </w:r>
            <w:r w:rsidR="006D758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analysis and conclusions.</w:t>
            </w:r>
          </w:p>
          <w:p w14:paraId="1AD7759E" w14:textId="77777777" w:rsidR="00800758" w:rsidRDefault="0080075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06D36FC" w14:textId="72D67C82" w:rsidR="00413F45" w:rsidRDefault="0080075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Report and escalate experience</w:t>
            </w:r>
            <w:r w:rsidR="00CA0C8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</w:t>
            </w:r>
            <w:r w:rsidR="00776C6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members of the public who make contact </w:t>
            </w:r>
            <w:r w:rsidR="002C7EB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for information and signposting support </w:t>
            </w:r>
            <w:r w:rsidR="00CA0C8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because they are experiencing problems with services.</w:t>
            </w:r>
          </w:p>
          <w:p w14:paraId="17F4F93B" w14:textId="77777777" w:rsidR="00413F45" w:rsidRDefault="00413F4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74F37F3" w14:textId="34BAB826" w:rsidR="00413F45" w:rsidRDefault="00413F4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Discuss with service commissioners </w:t>
            </w:r>
            <w:r w:rsidR="00721D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these c</w:t>
            </w:r>
            <w:r w:rsidR="00AD34B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 be resolved through the nex</w:t>
            </w:r>
            <w:r w:rsidR="0006397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 commissioning cycle.</w:t>
            </w:r>
          </w:p>
          <w:p w14:paraId="2BF7DF3D" w14:textId="77777777" w:rsidR="006445AD" w:rsidRDefault="006445AD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C106DE6" w14:textId="6C271CAD" w:rsidR="006445AD" w:rsidRDefault="006F5597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See also Domain 4.</w:t>
            </w:r>
          </w:p>
          <w:p w14:paraId="2CACA6E5" w14:textId="7C70A95A" w:rsidR="00413F45" w:rsidRPr="00327D55" w:rsidRDefault="00413F4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621E" w14:textId="77777777" w:rsidR="00232444" w:rsidRDefault="001C599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Addressing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unmet need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</w:t>
            </w:r>
          </w:p>
          <w:p w14:paraId="36DAA179" w14:textId="77777777" w:rsidR="00232444" w:rsidRDefault="0023244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78D4349" w14:textId="0CAAF1C6" w:rsidR="00232444" w:rsidRDefault="001C599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ore effective use of </w:t>
            </w:r>
            <w:r w:rsidR="0023244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short and long-term </w:t>
            </w:r>
            <w:r w:rsidR="008370A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healthcare 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resources</w:t>
            </w:r>
            <w:r w:rsidR="0023244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4B9DCBD3" w14:textId="77777777" w:rsidR="00232444" w:rsidRDefault="0023244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68B702B" w14:textId="3290EB27" w:rsidR="005636F9" w:rsidRPr="00327D55" w:rsidRDefault="002E530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Increased p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atient satisfaction with delivery of</w:t>
            </w:r>
            <w:r w:rsidR="0023244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</w:t>
            </w:r>
            <w:r w:rsidR="0023244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s,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as measured by</w:t>
            </w:r>
            <w:r w:rsidR="0023244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provider</w:t>
            </w:r>
            <w:r w:rsidR="009253E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B11E1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commissioner</w:t>
            </w:r>
            <w:r w:rsidR="009253E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B11E1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</w:tr>
      <w:tr w:rsidR="005636F9" w:rsidRPr="00327D55" w14:paraId="6884FFC4" w14:textId="77777777" w:rsidTr="00C977CE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CAA0" w14:textId="77777777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Integration of services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4720" w14:textId="2D84910F" w:rsidR="005636F9" w:rsidRPr="00327D55" w:rsidRDefault="006775A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above</w:t>
            </w:r>
            <w:r w:rsidR="00A32D9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with the Healthwatch lens benefiting from </w:t>
            </w:r>
            <w:r w:rsidR="0029498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our wide remit across health and social care</w:t>
            </w:r>
            <w:r w:rsidR="008370A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helping spot disconnects.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58CA" w14:textId="1509B54E" w:rsidR="005636F9" w:rsidRPr="00327D55" w:rsidRDefault="008370A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above.</w:t>
            </w:r>
          </w:p>
        </w:tc>
      </w:tr>
      <w:tr w:rsidR="005636F9" w:rsidRPr="00327D55" w14:paraId="424CE0BD" w14:textId="77777777" w:rsidTr="00C977CE">
        <w:trPr>
          <w:trHeight w:val="57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FFDB" w14:textId="77777777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Accountability of a Trust to the public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65DA" w14:textId="1017148B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Review and comment on draft Quality Accounts</w:t>
            </w:r>
            <w:r w:rsidR="007E003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EB49" w14:textId="77777777" w:rsidR="00874EEC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Assurance </w:t>
            </w:r>
            <w:r w:rsidR="00372B9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of </w:t>
            </w:r>
            <w:r w:rsidR="00874EE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integrity and transparency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 behalf of public</w:t>
            </w:r>
            <w:r w:rsidR="00874EE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3F0DC05A" w14:textId="77777777" w:rsidR="00874EEC" w:rsidRDefault="00874EE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13E86D1" w14:textId="77777777" w:rsidR="000F37B6" w:rsidRDefault="00874EE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riangulation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of Trust self-assessments 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with public experience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0F37B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influence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plans and priorities.</w:t>
            </w:r>
          </w:p>
          <w:p w14:paraId="648072AD" w14:textId="77777777" w:rsidR="000F37B6" w:rsidRDefault="000F37B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9897E3A" w14:textId="77777777" w:rsidR="005636F9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37B6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Does this help inform future CQC</w:t>
            </w:r>
            <w:r w:rsidR="000F37B6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approach to</w:t>
            </w:r>
            <w:r w:rsidRPr="000F37B6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inspection?</w:t>
            </w:r>
          </w:p>
          <w:p w14:paraId="22982840" w14:textId="27B80100" w:rsidR="000F37B6" w:rsidRPr="000F37B6" w:rsidRDefault="000F37B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636F9" w:rsidRPr="00327D55" w14:paraId="2592808E" w14:textId="77777777" w:rsidTr="00C977CE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8310" w14:textId="3C3A1559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250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Effectiveness and quality of service delivery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AC79" w14:textId="57752727" w:rsidR="005636F9" w:rsidRPr="00327D55" w:rsidRDefault="00FF2D82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Presenting </w:t>
            </w:r>
            <w:r w:rsidR="009678C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public’s experience of and insight into </w:t>
            </w:r>
            <w:r w:rsidR="002A4C2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</w:t>
            </w:r>
            <w:r w:rsidR="00914B0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social care</w:t>
            </w:r>
            <w:r w:rsidR="002819B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</w:t>
            </w:r>
            <w:r w:rsidR="00C7632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seeking action based on this from service providers and commissioners.</w:t>
            </w:r>
            <w:r w:rsidR="00137A7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A242" w14:textId="77777777" w:rsidR="0041250F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Better health outcomes</w:t>
            </w:r>
            <w:r w:rsidR="00C7632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440F38C3" w14:textId="77777777" w:rsidR="0041250F" w:rsidRDefault="0041250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214DC6C" w14:textId="55DAC047" w:rsidR="0041250F" w:rsidRDefault="00C7632E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mproved efficiency in using resources.</w:t>
            </w:r>
          </w:p>
          <w:p w14:paraId="0FB6377A" w14:textId="77777777" w:rsidR="0041250F" w:rsidRDefault="0041250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C6EAC63" w14:textId="77777777" w:rsidR="005636F9" w:rsidRDefault="001B5803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Supporting services to </w:t>
            </w:r>
            <w:r w:rsidR="00AC797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meet targets they’ve been set but also helping identify where these targets may lead to </w:t>
            </w:r>
            <w:r w:rsidR="0041250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unintended consequences in other respects.</w:t>
            </w:r>
          </w:p>
          <w:p w14:paraId="559ABA21" w14:textId="77777777" w:rsidR="00AC6EF7" w:rsidRDefault="00AC6EF7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65B3F26" w14:textId="2C6983C2" w:rsidR="00AC6EF7" w:rsidRPr="00327D55" w:rsidRDefault="002E530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Increased p</w:t>
            </w:r>
            <w:r w:rsidR="00AC6EF7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atient satisfaction with delivery of</w:t>
            </w:r>
            <w:r w:rsidR="00AC6EF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AC6EF7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</w:t>
            </w:r>
            <w:r w:rsidR="00AC6EF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s,</w:t>
            </w:r>
            <w:r w:rsidR="00AC6EF7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as measured by</w:t>
            </w:r>
            <w:r w:rsidR="00AC6EF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AC6EF7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provider</w:t>
            </w:r>
            <w:r w:rsidR="00AC6EF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 and commissioners.</w:t>
            </w:r>
          </w:p>
        </w:tc>
      </w:tr>
      <w:tr w:rsidR="005636F9" w:rsidRPr="00327D55" w14:paraId="0D46C664" w14:textId="77777777" w:rsidTr="00C977CE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82DC" w14:textId="307867F2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 user experience during service delivery</w:t>
            </w:r>
            <w:r w:rsidR="00896C9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4B41E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relating </w:t>
            </w:r>
            <w:proofErr w:type="gramStart"/>
            <w:r w:rsidR="004B41E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</w:t>
            </w:r>
            <w:r w:rsidR="0000208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  <w:proofErr w:type="gramEnd"/>
            <w:r w:rsidR="004B41E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customer service</w:t>
            </w:r>
            <w:r w:rsidR="00A9337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respect and understanding</w:t>
            </w:r>
            <w:r w:rsidR="00D101D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 culture of listening to the individual, and</w:t>
            </w:r>
            <w:r w:rsidR="00D9237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commitment to development of staff skills in these areas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D909" w14:textId="7B222FFE" w:rsidR="005636F9" w:rsidRPr="00327D55" w:rsidRDefault="00D9237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above.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0111" w14:textId="1D140A10" w:rsidR="005636F9" w:rsidRPr="00327D55" w:rsidRDefault="00AC6EF7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above.</w:t>
            </w:r>
          </w:p>
        </w:tc>
      </w:tr>
      <w:tr w:rsidR="005636F9" w:rsidRPr="00327D55" w14:paraId="5C5BBC62" w14:textId="77777777" w:rsidTr="00C977CE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9C4E" w14:textId="29997F91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Assurance that strategic decisions are implemented on the ground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51FB" w14:textId="3C3206C6" w:rsidR="005636F9" w:rsidRDefault="00A7201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Being a</w:t>
            </w:r>
            <w:r w:rsidR="00EC340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direct and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independent lin</w:t>
            </w:r>
            <w:r w:rsidR="00AD428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</w:t>
            </w:r>
            <w:r w:rsidR="0016781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AD428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between senior decision-making bodies and</w:t>
            </w:r>
            <w:r w:rsidR="00E7007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public’s personal experience</w:t>
            </w:r>
            <w:r w:rsidR="00DB4CB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EC340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6E389317" w14:textId="77777777" w:rsidR="00551662" w:rsidRDefault="00551662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6BA3C17" w14:textId="013BFC2D" w:rsidR="00551662" w:rsidRPr="00327D55" w:rsidRDefault="00551662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Understanding </w:t>
            </w:r>
            <w:r w:rsidR="00DF08F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changes made at a policy level </w:t>
            </w:r>
            <w:r w:rsidR="005A400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</w:t>
            </w:r>
            <w:r w:rsidR="00B9462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using this to</w:t>
            </w:r>
            <w:r w:rsidR="005A400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DB4CB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inform engagement activity and </w:t>
            </w:r>
            <w:r w:rsidR="00B9462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questions asked</w:t>
            </w:r>
            <w:r w:rsidR="001C648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8178" w14:textId="77777777" w:rsidR="00FC76AF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Stronger oversight and scrutiny</w:t>
            </w:r>
            <w:r w:rsidR="001C648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by decision-making bodies and elected </w:t>
            </w:r>
            <w:r w:rsidR="00FC76A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representatives.</w:t>
            </w:r>
          </w:p>
          <w:p w14:paraId="380F4024" w14:textId="77777777" w:rsidR="00FC76AF" w:rsidRDefault="00FC76A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02F8370" w14:textId="77777777" w:rsidR="00FC76AF" w:rsidRDefault="00FC76A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Ensuring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effective use of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short and long-term healthcare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resources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61A043F3" w14:textId="251F6341" w:rsidR="005636F9" w:rsidRPr="00327D55" w:rsidRDefault="00FC76A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etter health outcomes.</w:t>
            </w:r>
          </w:p>
        </w:tc>
      </w:tr>
      <w:tr w:rsidR="005636F9" w:rsidRPr="00327D55" w14:paraId="243C8C07" w14:textId="77777777" w:rsidTr="00C977CE">
        <w:trPr>
          <w:trHeight w:val="11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E626" w14:textId="675066C0" w:rsidR="005636F9" w:rsidRPr="00327D55" w:rsidRDefault="009C530E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</w:t>
            </w:r>
            <w:r w:rsidRPr="009C530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nderstanding the most appropriate feedback, concern or complaints option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11F7" w14:textId="77777777" w:rsidR="00DF772C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Listening to people and helping them better understanding their situation in context.</w:t>
            </w:r>
          </w:p>
          <w:p w14:paraId="6640B0E7" w14:textId="77777777" w:rsidR="00DF772C" w:rsidRDefault="00DF772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DB9AC00" w14:textId="28210920" w:rsidR="000B667F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Helping people better understand the scope and realities of complaints processes</w:t>
            </w:r>
            <w:r w:rsidR="000B667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so they can decide on the course of action that </w:t>
            </w:r>
            <w:r w:rsidR="00861B0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best suits them.</w:t>
            </w:r>
          </w:p>
          <w:p w14:paraId="5A6C75C1" w14:textId="77777777" w:rsidR="000B667F" w:rsidRDefault="000B667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0DB28BB" w14:textId="1139D90B" w:rsidR="00B1479A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Letting </w:t>
            </w:r>
            <w:r w:rsidR="00861B0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people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know that their experience will be reported and escalated</w:t>
            </w:r>
            <w:r w:rsidR="00B1479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E3266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part of Healthwatch’s remit.</w:t>
            </w:r>
          </w:p>
          <w:p w14:paraId="3BA67DDE" w14:textId="77777777" w:rsidR="00B1479A" w:rsidRDefault="00B1479A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69C7884" w14:textId="77777777" w:rsidR="00E150F6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Escalating some individual issues</w:t>
            </w:r>
            <w:r w:rsidR="00E3266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</w:t>
            </w:r>
            <w:r w:rsidR="00E150F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achieve effective solutions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5A10816B" w14:textId="77777777" w:rsidR="00E150F6" w:rsidRDefault="00E150F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EC824E3" w14:textId="4BC8311A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Increasing providers and commissioners' focus on listening to resolve issues before formal complaints are needed.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4649" w14:textId="77777777" w:rsidR="00C22191" w:rsidRDefault="00C22191" w:rsidP="00C22191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1EA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Individuals are better informed to resolve issues effectively, with support from local Healthwatch to understand their situations and choose the most appropriate avenues, including formal complaints when necessary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42A124F3" w14:textId="77777777" w:rsidR="00C22191" w:rsidRDefault="00C22191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A7D03D9" w14:textId="453CA560" w:rsidR="00D83CC6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More effective and quick resolution of issues</w:t>
            </w:r>
            <w:r w:rsidR="00D83CC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individual members of the public.</w:t>
            </w:r>
          </w:p>
          <w:p w14:paraId="3A787EB8" w14:textId="77777777" w:rsidR="00D83CC6" w:rsidRDefault="00D83CC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6787136" w14:textId="77777777" w:rsidR="00D83CC6" w:rsidRDefault="00D83CC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educed stress for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individual members of the public.</w:t>
            </w:r>
          </w:p>
          <w:p w14:paraId="51D5E2B1" w14:textId="77777777" w:rsidR="00D83CC6" w:rsidRDefault="00D83CC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1D8BE02" w14:textId="77777777" w:rsidR="005636F9" w:rsidRDefault="002A0880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educed use of official complaints team resources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where </w:t>
            </w:r>
            <w:r w:rsidR="0023005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there would be little </w:t>
            </w:r>
            <w:r w:rsidR="001D4EA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prospect of practical or moral </w:t>
            </w:r>
            <w:r w:rsidR="00AB219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satisfaction</w:t>
            </w:r>
            <w:r w:rsidR="001D4EA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the member of the public.</w:t>
            </w:r>
          </w:p>
          <w:p w14:paraId="6B5CAFB8" w14:textId="77777777" w:rsidR="00AB2195" w:rsidRDefault="00AB219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F3BCD37" w14:textId="58CF229C" w:rsidR="00AB2195" w:rsidRPr="00327D55" w:rsidRDefault="007A5E8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Improved effective</w:t>
            </w:r>
            <w:r w:rsidR="008D7BE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ness, quality and experience of services</w:t>
            </w:r>
            <w:r w:rsidR="000600D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and less official complaints where </w:t>
            </w:r>
            <w:r w:rsidR="008F25B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escalation of an individual’s </w:t>
            </w:r>
            <w:r w:rsidR="00E97C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situation</w:t>
            </w:r>
            <w:r w:rsidR="008F25B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helps identify and fix a wider systemic </w:t>
            </w:r>
            <w:r w:rsidR="00DC5C1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problem.</w:t>
            </w:r>
          </w:p>
        </w:tc>
      </w:tr>
    </w:tbl>
    <w:p w14:paraId="19B41C42" w14:textId="77777777" w:rsidR="00327D55" w:rsidRDefault="00327D55" w:rsidP="00196457">
      <w:pPr>
        <w:rPr>
          <w:rFonts w:ascii="Century Gothic" w:hAnsi="Century Gothic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4673"/>
        <w:gridCol w:w="4536"/>
        <w:gridCol w:w="5103"/>
      </w:tblGrid>
      <w:tr w:rsidR="00F30977" w:rsidRPr="00327D55" w14:paraId="33F1AB42" w14:textId="77777777" w:rsidTr="00FA3D41">
        <w:trPr>
          <w:trHeight w:val="85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D6FDE0" w14:textId="7DCBA58C" w:rsidR="00A94E9E" w:rsidRPr="00C561CA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Domain 4:</w:t>
            </w:r>
            <w:r w:rsidRPr="00327D5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Patient involvement and co-creation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D62DB4" w14:textId="7F2F90B3" w:rsidR="00F30977" w:rsidRPr="00327D55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how we do this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A41620" w14:textId="39794EAA" w:rsidR="00F30977" w:rsidRPr="00327D55" w:rsidRDefault="00E34F50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impact and any recognised measures</w:t>
            </w:r>
          </w:p>
        </w:tc>
      </w:tr>
      <w:tr w:rsidR="005636F9" w:rsidRPr="00327D55" w14:paraId="4517223A" w14:textId="77777777" w:rsidTr="00C977CE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D074" w14:textId="77777777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Involvement of people in co-creation: finding participants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97AB" w14:textId="40F13233" w:rsidR="00C74FD2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Facilitating networking </w:t>
            </w:r>
            <w:r w:rsidR="00C74FD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between healthcare decision-makers and</w:t>
            </w:r>
            <w:r w:rsidR="0076449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diverse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community groups</w:t>
            </w:r>
            <w:r w:rsidR="0076449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2DA4025C" w14:textId="77777777" w:rsidR="00C74FD2" w:rsidRDefault="00C74FD2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9A0C4F0" w14:textId="78A3CDDE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Promoting opportunities</w:t>
            </w:r>
            <w:r w:rsidR="00485CC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people to get involved</w:t>
            </w:r>
            <w:r w:rsidR="005B023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F3C5" w14:textId="77777777" w:rsidR="001D08F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More effective service</w:t>
            </w:r>
            <w:r w:rsidR="001D08F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</w:t>
            </w:r>
          </w:p>
          <w:p w14:paraId="093F30F2" w14:textId="77777777" w:rsidR="009450B5" w:rsidRDefault="009450B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9237E6E" w14:textId="609A42CE" w:rsidR="009450B5" w:rsidRDefault="009450B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Reduced health inequalities.</w:t>
            </w:r>
          </w:p>
          <w:p w14:paraId="3E8E9402" w14:textId="77777777" w:rsidR="0076449F" w:rsidRDefault="0076449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61ED47E" w14:textId="28AAE136" w:rsidR="002E5306" w:rsidRDefault="002E530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Increased p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atient satisfaction with delivery of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s,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as measured by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provider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 and commissioners.</w:t>
            </w:r>
          </w:p>
          <w:p w14:paraId="22BD6E36" w14:textId="77777777" w:rsidR="00545923" w:rsidRDefault="00545923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C881C86" w14:textId="77777777" w:rsidR="009C3509" w:rsidRDefault="00C7693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Community groups and individuals involved </w:t>
            </w:r>
            <w:r w:rsidR="00111A6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feel more closely allied to their local services.</w:t>
            </w:r>
          </w:p>
          <w:p w14:paraId="748FE879" w14:textId="77777777" w:rsidR="00111A6C" w:rsidRDefault="00111A6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7AFFA03" w14:textId="345B3558" w:rsidR="00111A6C" w:rsidRPr="00327D55" w:rsidRDefault="00111A6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Personal development </w:t>
            </w:r>
            <w:r w:rsidR="0054288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</w:t>
            </w:r>
            <w:r w:rsidR="00FF0EF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 the individ</w:t>
            </w:r>
            <w:r w:rsidR="00C6074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uals involved.</w:t>
            </w:r>
          </w:p>
        </w:tc>
      </w:tr>
      <w:tr w:rsidR="005636F9" w:rsidRPr="00327D55" w14:paraId="1E0B553E" w14:textId="77777777" w:rsidTr="00C977CE">
        <w:trPr>
          <w:trHeight w:val="57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DC72" w14:textId="3087E6AB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Involvement of people in co-creation: improving methodology, </w:t>
            </w:r>
            <w:r w:rsidR="00C6074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ensuring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involvement</w:t>
            </w:r>
            <w:r w:rsidR="00C6074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is meaningful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="00C6074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developing a</w:t>
            </w:r>
            <w:r w:rsidR="00C6074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culture of understanding, closing the feedback loop</w:t>
            </w:r>
            <w:r w:rsidR="00C6074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25A9" w14:textId="77777777" w:rsidR="005636F9" w:rsidRDefault="004467B1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Supporting providers and commissioners to plan and deliver </w:t>
            </w:r>
            <w:r w:rsidR="00020C7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their own activities.</w:t>
            </w:r>
          </w:p>
          <w:p w14:paraId="18135159" w14:textId="77777777" w:rsidR="00020C78" w:rsidRDefault="00020C7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47DBEEE" w14:textId="0F01A9E2" w:rsidR="00020C78" w:rsidRPr="00327D55" w:rsidRDefault="00020C7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Developing resources</w:t>
            </w:r>
            <w:r w:rsidR="00D87EB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 </w:t>
            </w:r>
            <w:r w:rsidR="0085372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show best practice.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8321" w14:textId="737CEAB3" w:rsidR="005636F9" w:rsidRDefault="00C6074A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above.</w:t>
            </w:r>
          </w:p>
          <w:p w14:paraId="5994D579" w14:textId="77777777" w:rsidR="003055BB" w:rsidRDefault="003055BB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7128F2B" w14:textId="71D56B65" w:rsidR="003055BB" w:rsidRPr="00327D55" w:rsidRDefault="003055BB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Embedding a longer-term culture of</w:t>
            </w:r>
            <w:r w:rsidR="00AD42C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decision-makers collaborating with </w:t>
            </w:r>
            <w:r w:rsidR="00F4385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public because they</w:t>
            </w:r>
            <w:r w:rsidR="00C561C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have experienced how this leads to better results.</w:t>
            </w:r>
          </w:p>
        </w:tc>
      </w:tr>
    </w:tbl>
    <w:p w14:paraId="15705428" w14:textId="77777777" w:rsidR="00327D55" w:rsidRDefault="00327D55" w:rsidP="00196457">
      <w:pPr>
        <w:rPr>
          <w:rFonts w:ascii="Century Gothic" w:hAnsi="Century Gothic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4673"/>
        <w:gridCol w:w="4536"/>
        <w:gridCol w:w="5103"/>
      </w:tblGrid>
      <w:tr w:rsidR="00F30977" w:rsidRPr="00963F53" w14:paraId="0CEE5BC9" w14:textId="77777777" w:rsidTr="002A3D59">
        <w:trPr>
          <w:trHeight w:val="293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B3EAE6" w14:textId="3FE84F3A" w:rsidR="00F30977" w:rsidRPr="00963F53" w:rsidRDefault="00F30977" w:rsidP="00121D8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E7307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Domain 5: Patient safety and regulatory </w:t>
            </w:r>
            <w:r w:rsidR="00842AB6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effectiveness</w:t>
            </w:r>
            <w:r w:rsidR="00B910D7" w:rsidRPr="0037564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473007" w14:textId="335D86F6" w:rsidR="00F30977" w:rsidRPr="00963F53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how we do this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0A5868" w14:textId="3A3F54E8" w:rsidR="00F30977" w:rsidRPr="00963F53" w:rsidRDefault="00E34F50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impact and any recognised measures</w:t>
            </w:r>
          </w:p>
        </w:tc>
      </w:tr>
      <w:tr w:rsidR="005636F9" w:rsidRPr="00963F53" w14:paraId="2EC2F435" w14:textId="77777777" w:rsidTr="00C977CE">
        <w:trPr>
          <w:trHeight w:val="8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E4DE" w14:textId="77777777" w:rsidR="005636F9" w:rsidRPr="00963F53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Increasing patient safety and protecting vulnerable adults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FB59" w14:textId="5311EB27" w:rsidR="007F09C2" w:rsidRDefault="002C29F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Asking </w:t>
            </w:r>
            <w:r w:rsidR="00DB576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questions that seek assurance</w:t>
            </w:r>
            <w:r w:rsidR="007F09C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about safety matters</w:t>
            </w:r>
            <w:r w:rsidR="006E3E0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safeguarding actions</w:t>
            </w:r>
            <w:r w:rsidR="007F09C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on behalf of the public</w:t>
            </w:r>
            <w:r w:rsidR="00F6258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when</w:t>
            </w:r>
            <w:r w:rsidR="00FA251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specific</w:t>
            </w:r>
            <w:r w:rsidR="00F6258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experiences shared by people</w:t>
            </w:r>
            <w:r w:rsidR="007E5E0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suggest there could be </w:t>
            </w:r>
            <w:r w:rsidR="0030263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concerns.</w:t>
            </w:r>
          </w:p>
          <w:p w14:paraId="056131EB" w14:textId="77777777" w:rsidR="00D4366A" w:rsidRDefault="00D4366A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F7ACC47" w14:textId="112EADE3" w:rsidR="00D4366A" w:rsidRDefault="00D4366A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Highlighting some issues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 the course of</w:t>
            </w:r>
            <w:proofErr w:type="gramEnd"/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reporting </w:t>
            </w:r>
            <w:r w:rsidR="000017C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findings which could </w:t>
            </w:r>
            <w:r w:rsidR="0022675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present </w:t>
            </w:r>
            <w:r w:rsidR="0022675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future risks if they </w:t>
            </w:r>
            <w:r w:rsidR="00631B9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worsened and </w:t>
            </w:r>
            <w:r w:rsidR="0022675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weren’t addressed.</w:t>
            </w:r>
          </w:p>
          <w:p w14:paraId="30950CD2" w14:textId="77777777" w:rsidR="00816B09" w:rsidRDefault="00816B0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7BD7251" w14:textId="2C89638E" w:rsidR="00816B09" w:rsidRDefault="00816B0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Feed</w:t>
            </w:r>
            <w:r w:rsidR="0069019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public insight shared with Healthwatch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into local Quality Group </w:t>
            </w:r>
            <w:r w:rsidR="00D329A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multi-agency</w:t>
            </w:r>
            <w:r w:rsidR="005F2A2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discussions</w:t>
            </w:r>
            <w:r w:rsidR="005379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remind group members about the importance of public involvement in decisions.</w:t>
            </w:r>
          </w:p>
          <w:p w14:paraId="7DEA3AF0" w14:textId="77777777" w:rsidR="00332FF0" w:rsidRDefault="00332FF0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00F95A9" w14:textId="43C08D47" w:rsidR="00332FF0" w:rsidRDefault="00332FF0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Membership of scrutiny group</w:t>
            </w:r>
            <w:r w:rsidR="002B226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65602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</w:t>
            </w:r>
            <w:r w:rsidR="001A44A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project teams</w:t>
            </w:r>
            <w:r w:rsidR="0065602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such</w:t>
            </w:r>
            <w:r w:rsidR="00011FA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things</w:t>
            </w:r>
            <w:r w:rsidR="0065602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as independent reviews into culture and </w:t>
            </w:r>
            <w:r w:rsidR="00FD3F5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practices or</w:t>
            </w:r>
            <w:r w:rsidR="005C179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D84B3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quality </w:t>
            </w:r>
            <w:r w:rsidR="00465C1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improvement </w:t>
            </w:r>
            <w:r w:rsidR="007250E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programmes.</w:t>
            </w:r>
          </w:p>
          <w:p w14:paraId="5A7E7A9C" w14:textId="77777777" w:rsidR="00123283" w:rsidRDefault="00123283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C0306BA" w14:textId="063B56B5" w:rsidR="00123283" w:rsidRDefault="00123283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Maintaining a</w:t>
            </w:r>
            <w:r w:rsidRPr="001232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wareness of how to refer individuals to local safeguarding team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1232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and liaison with local Adults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1232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afeguarding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</w:t>
            </w:r>
            <w:r w:rsidRPr="001232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oard.</w:t>
            </w:r>
          </w:p>
          <w:p w14:paraId="161D0C0F" w14:textId="77777777" w:rsidR="005636F9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AAFF0FD" w14:textId="7C50BF71" w:rsidR="00302633" w:rsidRPr="00963F53" w:rsidRDefault="00F951F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Maintaining </w:t>
            </w:r>
            <w:r w:rsidR="00A52FE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independence so members of the public are confident they can </w:t>
            </w:r>
            <w:r w:rsidR="00DC2E9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share </w:t>
            </w:r>
            <w:r w:rsidR="0020490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their </w:t>
            </w:r>
            <w:r w:rsidR="00DC2E9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experience</w:t>
            </w:r>
            <w:r w:rsidR="0020490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2CB3" w14:textId="77777777" w:rsidR="0020490D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Increased </w:t>
            </w:r>
            <w:r w:rsidR="0020490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healthcare 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staff awareness around safety.</w:t>
            </w:r>
          </w:p>
          <w:p w14:paraId="6F4CFB37" w14:textId="77777777" w:rsidR="0020490D" w:rsidRDefault="0020490D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B1A2925" w14:textId="77777777" w:rsidR="005636F9" w:rsidRDefault="0006295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Contribute to e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arly warning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evidence 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around potential safety issues or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more 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widespread organisational failure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</w:t>
            </w:r>
          </w:p>
          <w:p w14:paraId="179823AE" w14:textId="77777777" w:rsidR="00FE5C85" w:rsidRDefault="00FE5C8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ABCF9AC" w14:textId="634523BA" w:rsidR="00F13C6A" w:rsidRPr="00963F53" w:rsidRDefault="009C5B7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Conclusions of</w:t>
            </w:r>
            <w:r w:rsidR="00E97CD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7D309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</w:t>
            </w:r>
            <w:r w:rsidR="00982E4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pendent safety </w:t>
            </w:r>
            <w:r w:rsidR="00E97CD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reviews</w:t>
            </w:r>
            <w:r w:rsidR="00AE2F2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results of quality improvement programmes</w:t>
            </w:r>
            <w:r w:rsidR="000C451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7291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show a clear focus on patient experience</w:t>
            </w:r>
            <w:r w:rsidR="00AE2F2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</w:tr>
      <w:tr w:rsidR="005636F9" w:rsidRPr="00963F53" w14:paraId="7559435C" w14:textId="77777777" w:rsidTr="00C977CE">
        <w:trPr>
          <w:trHeight w:val="86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5BFD" w14:textId="77777777" w:rsidR="005636F9" w:rsidRPr="00963F53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CQC acting on concerns raised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58E5" w14:textId="77777777" w:rsidR="005636F9" w:rsidRDefault="005F2A2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Sharing reports and e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scalating insight obtained and analysis to CQC.</w:t>
            </w:r>
          </w:p>
          <w:p w14:paraId="08E137E7" w14:textId="77777777" w:rsidR="00FD264B" w:rsidRDefault="00FD264B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618BE5F" w14:textId="117645F1" w:rsidR="00FD264B" w:rsidRPr="00963F53" w:rsidRDefault="00FD264B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Use of agreed escalation processes</w:t>
            </w:r>
            <w:r w:rsidR="00A3229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local Healthwatch to CQC</w:t>
            </w:r>
            <w:r w:rsidR="009066C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including </w:t>
            </w:r>
            <w:r w:rsidR="00AF06A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prior </w:t>
            </w:r>
            <w:r w:rsidR="009066C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discussion </w:t>
            </w:r>
            <w:r w:rsidR="00AF06A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by</w:t>
            </w:r>
            <w:r w:rsidR="009066C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Healthwatch board</w:t>
            </w:r>
            <w:r w:rsidR="00AF06A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922E" w14:textId="6B94C6EA" w:rsidR="001E4FB1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CQC </w:t>
            </w:r>
            <w:proofErr w:type="spellStart"/>
            <w:r w:rsidR="00BC20C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feed back</w:t>
            </w:r>
            <w:proofErr w:type="spellEnd"/>
            <w:r w:rsidR="00BC20C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 Healthwatch that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useful actions </w:t>
            </w:r>
            <w:r w:rsidR="00BC20C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have been 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taken</w:t>
            </w:r>
            <w:r w:rsidR="001E4FB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based on Healthwatch insight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20BA25C3" w14:textId="77777777" w:rsidR="001E4FB1" w:rsidRDefault="001E4FB1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B09BD6F" w14:textId="77777777" w:rsidR="00BC20C9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Better regulation of service</w:t>
            </w:r>
            <w:r w:rsidR="001E4FB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BC2EA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leading to improved quality.</w:t>
            </w:r>
          </w:p>
          <w:p w14:paraId="6E4C0499" w14:textId="65C8A211" w:rsidR="005636F9" w:rsidRPr="00963F53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7481A906" w14:textId="77777777" w:rsidR="00963F53" w:rsidRDefault="00963F53" w:rsidP="00196457">
      <w:pPr>
        <w:rPr>
          <w:rFonts w:ascii="Century Gothic" w:hAnsi="Century Gothic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4673"/>
        <w:gridCol w:w="4536"/>
        <w:gridCol w:w="5103"/>
      </w:tblGrid>
      <w:tr w:rsidR="00F30977" w:rsidRPr="00963F53" w14:paraId="654FD9D6" w14:textId="77777777" w:rsidTr="00881B26">
        <w:trPr>
          <w:trHeight w:val="293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8CDD15" w14:textId="5CD4E2A9" w:rsidR="00F30977" w:rsidRPr="00963F53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Domain 6: </w:t>
            </w:r>
            <w:r w:rsidRPr="00963F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Communication: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0A6E29" w14:textId="2E79C091" w:rsidR="00F30977" w:rsidRPr="00963F53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how we do this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30D45D" w14:textId="3688E5AF" w:rsidR="00F30977" w:rsidRPr="00963F53" w:rsidRDefault="00E34F50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impact and any recognised measures</w:t>
            </w:r>
          </w:p>
        </w:tc>
      </w:tr>
      <w:tr w:rsidR="005636F9" w:rsidRPr="00963F53" w14:paraId="2E9FAF78" w14:textId="77777777" w:rsidTr="00C977CE">
        <w:trPr>
          <w:trHeight w:val="86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CFB8" w14:textId="02EC1829" w:rsidR="005636F9" w:rsidRPr="00963F53" w:rsidRDefault="005636F9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Improv</w:t>
            </w:r>
            <w:r w:rsidR="00002084"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ing</w:t>
            </w:r>
            <w:r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public information and communications</w:t>
            </w:r>
            <w:r w:rsidR="00002084"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  <w:r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7179F9"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useful and understandable content, </w:t>
            </w:r>
            <w:r w:rsidR="007F66EB"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use of appropriate </w:t>
            </w:r>
            <w:r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channels, accessibility</w:t>
            </w:r>
            <w:r w:rsidR="00622898"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</w:t>
            </w:r>
            <w:r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B9C1" w14:textId="77777777" w:rsidR="00622898" w:rsidRDefault="00622898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Providing f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eedback on draft or existing communications.</w:t>
            </w:r>
          </w:p>
          <w:p w14:paraId="26CE36DA" w14:textId="77777777" w:rsidR="00BA6441" w:rsidRDefault="00BA6441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B69A9F6" w14:textId="6800E106" w:rsidR="00BA6441" w:rsidRDefault="00BA6441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Identifying what information</w:t>
            </w:r>
            <w:r w:rsidR="007E366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different audiences and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890B9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communities</w:t>
            </w:r>
            <w:r w:rsidR="007E366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need to be able to</w:t>
            </w:r>
            <w:r w:rsidR="003F6AD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act on it</w:t>
            </w:r>
            <w:r w:rsidR="007E366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021ADD2F" w14:textId="77777777" w:rsidR="00622898" w:rsidRDefault="00622898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D818BAE" w14:textId="11186176" w:rsidR="005636F9" w:rsidRPr="00963F53" w:rsidRDefault="005636F9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Using </w:t>
            </w:r>
            <w:r w:rsid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Healthwatch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channels to get information out.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3A65" w14:textId="77777777" w:rsidR="003F6AD1" w:rsidRDefault="005636F9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Increased and more equitable choice and access to services</w:t>
            </w:r>
            <w:r w:rsidR="003F6AD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4D79579E" w14:textId="77777777" w:rsidR="003F6AD1" w:rsidRDefault="003F6AD1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0DD86C6" w14:textId="5B0561D4" w:rsidR="007820B1" w:rsidRDefault="003F6AD1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mproved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promotion </w:t>
            </w:r>
            <w:r w:rsidR="007820B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 public health messages and greater ability for people to make informed decisions</w:t>
            </w:r>
            <w:r w:rsidR="009E7CD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on how to act.</w:t>
            </w:r>
          </w:p>
          <w:p w14:paraId="7297C070" w14:textId="77777777" w:rsidR="007820B1" w:rsidRDefault="007820B1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D9F2AE6" w14:textId="77777777" w:rsidR="004A5E10" w:rsidRDefault="004A5E10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uicker diagnosis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health problems.</w:t>
            </w:r>
          </w:p>
          <w:p w14:paraId="3BA4CF85" w14:textId="77777777" w:rsidR="00622B84" w:rsidRDefault="00622B84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546E651" w14:textId="4DE2383B" w:rsidR="00622B84" w:rsidRDefault="00622B84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Better health outcomes.</w:t>
            </w:r>
          </w:p>
          <w:p w14:paraId="1DFD9F8B" w14:textId="1D9BD123" w:rsidR="00622B84" w:rsidRDefault="00622B84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71433D4" w14:textId="3129ED8F" w:rsidR="00622B84" w:rsidRDefault="00622B84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Reduced health inequalities.</w:t>
            </w:r>
          </w:p>
          <w:p w14:paraId="5AC82150" w14:textId="77777777" w:rsidR="004A5E10" w:rsidRDefault="004A5E10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0E32A30" w14:textId="11186708" w:rsidR="00797B24" w:rsidRDefault="004A5E10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mproved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public 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satisfaction </w:t>
            </w:r>
            <w:r w:rsidR="00797B2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due to people having 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better understanding</w:t>
            </w:r>
            <w:r w:rsidR="00797B2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expectations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</w:t>
            </w:r>
            <w:r w:rsidR="00797B2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</w:t>
            </w:r>
            <w:r w:rsidR="00797B2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3DD850C7" w14:textId="7886ECEF" w:rsidR="005636F9" w:rsidRPr="00963F53" w:rsidRDefault="005636F9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636F9" w:rsidRPr="00963F53" w14:paraId="5A806718" w14:textId="77777777" w:rsidTr="00C977CE">
        <w:trPr>
          <w:trHeight w:val="8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6BE1" w14:textId="77B43C08" w:rsidR="005636F9" w:rsidRPr="00963F53" w:rsidRDefault="005636F9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Member of the public receiving</w:t>
            </w:r>
            <w:r w:rsidR="005019C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service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760D" w14:textId="77777777" w:rsidR="005636F9" w:rsidRPr="00963F53" w:rsidRDefault="005636F9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Information and Signposting support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3FBA" w14:textId="77777777" w:rsidR="00622B84" w:rsidRDefault="00622B84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above.</w:t>
            </w:r>
          </w:p>
          <w:p w14:paraId="0A8867DE" w14:textId="77777777" w:rsidR="00622B84" w:rsidRDefault="00622B84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4EB8600" w14:textId="7FC310B5" w:rsidR="005636F9" w:rsidRPr="00963F53" w:rsidRDefault="00532FA8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Greater ability</w:t>
            </w:r>
            <w:r w:rsidR="000E736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an individual to reach c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losure on an issue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0E736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if there isn’t a resolution possible.</w:t>
            </w:r>
          </w:p>
        </w:tc>
      </w:tr>
    </w:tbl>
    <w:p w14:paraId="173F2D77" w14:textId="77777777" w:rsidR="00963F53" w:rsidRDefault="00963F53" w:rsidP="00196457">
      <w:pPr>
        <w:rPr>
          <w:rFonts w:ascii="Century Gothic" w:hAnsi="Century Gothic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4673"/>
        <w:gridCol w:w="4536"/>
        <w:gridCol w:w="5103"/>
      </w:tblGrid>
      <w:tr w:rsidR="00F30977" w:rsidRPr="00963F53" w14:paraId="21AD3BA2" w14:textId="77777777" w:rsidTr="00881B26">
        <w:trPr>
          <w:trHeight w:val="293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6C5010" w14:textId="60853056" w:rsidR="00F30977" w:rsidRPr="00963F53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Domain 7: </w:t>
            </w:r>
            <w:r w:rsidRPr="00963F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Shifting the culture and agenda towards listening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4844F0" w14:textId="16AB4CB0" w:rsidR="00F30977" w:rsidRPr="00963F53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how we do this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897DD5" w14:textId="4007CF55" w:rsidR="00F30977" w:rsidRPr="00963F53" w:rsidRDefault="00C50BC4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impact and any recognised measures</w:t>
            </w:r>
          </w:p>
        </w:tc>
      </w:tr>
      <w:tr w:rsidR="005636F9" w:rsidRPr="00963F53" w14:paraId="11C62978" w14:textId="77777777" w:rsidTr="00C977CE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74DF" w14:textId="77777777" w:rsidR="005636F9" w:rsidRPr="00963F53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Changing the conversation by bringing a patient-focused perspective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ECEE" w14:textId="77777777" w:rsidR="00A868AC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Introducing people's experience to </w:t>
            </w:r>
            <w:r w:rsidR="00A868A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 and social care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meeting discussions.</w:t>
            </w:r>
          </w:p>
          <w:p w14:paraId="61D8CB3C" w14:textId="77777777" w:rsidR="00A868AC" w:rsidRDefault="00A868A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0F13945" w14:textId="3BC724BA" w:rsidR="005636F9" w:rsidRPr="00963F53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Reports and briefings with qualitative insight.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F6FD" w14:textId="49CA046F" w:rsidR="005636F9" w:rsidRPr="00963F53" w:rsidRDefault="00A868A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Providers and commissioners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better understand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people’s 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need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can prioritise resources appropriately.</w:t>
            </w:r>
          </w:p>
        </w:tc>
      </w:tr>
      <w:tr w:rsidR="005636F9" w:rsidRPr="00963F53" w14:paraId="1D60C375" w14:textId="77777777" w:rsidTr="00C977CE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A719" w14:textId="10F21551" w:rsidR="005636F9" w:rsidRPr="00963F53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Raising the understanding and priority given to an issue by helping </w:t>
            </w:r>
            <w:r w:rsidR="00372EF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decision makers 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reflect on its depth and the impact on people's lives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675C" w14:textId="697402EC" w:rsidR="005636F9" w:rsidRPr="00963F53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="00372EF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above.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293D" w14:textId="03768B10" w:rsidR="005636F9" w:rsidRPr="00963F53" w:rsidRDefault="00372EF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above.</w:t>
            </w:r>
          </w:p>
        </w:tc>
      </w:tr>
      <w:tr w:rsidR="005636F9" w:rsidRPr="00963F53" w14:paraId="1140736E" w14:textId="77777777" w:rsidTr="00C977CE">
        <w:trPr>
          <w:trHeight w:val="11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1F1F" w14:textId="74496C9A" w:rsidR="005636F9" w:rsidRPr="00963F53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Bringing people around the table to start talking about an issue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9D6E" w14:textId="46C1AD73" w:rsidR="007B6358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Being the catalyst </w:t>
            </w:r>
            <w:r w:rsidR="007B635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develop a coalition of partners in the area who can in turn mobilise and reach people.</w:t>
            </w:r>
          </w:p>
          <w:p w14:paraId="6A726692" w14:textId="77777777" w:rsidR="007B6358" w:rsidRDefault="007B635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2CCBF01" w14:textId="77777777" w:rsidR="0025469D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Developing momentum and being a focal point with authority on a subject to generate greater joint influence and connections.</w:t>
            </w:r>
          </w:p>
          <w:p w14:paraId="298DA3DE" w14:textId="77777777" w:rsidR="0025469D" w:rsidRDefault="0025469D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1B1A3E7" w14:textId="290508DD" w:rsidR="0025469D" w:rsidRPr="00963F53" w:rsidRDefault="0025469D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Working with </w:t>
            </w:r>
            <w:r w:rsidR="005F3EE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service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</w:t>
            </w:r>
            <w:r w:rsidR="005F3EE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viders to find solutions to issues.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CD42" w14:textId="77777777" w:rsidR="005636F9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Evaluation </w:t>
            </w:r>
            <w:r w:rsidR="001C758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of 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or investigation </w:t>
            </w:r>
            <w:r w:rsidR="001C758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into a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service is triggered in relation to quality or equalities issues.</w:t>
            </w:r>
          </w:p>
          <w:p w14:paraId="007A169C" w14:textId="77777777" w:rsidR="00C106AC" w:rsidRDefault="00C106A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58422AD" w14:textId="77777777" w:rsidR="007A0BE7" w:rsidRDefault="007A0BE7" w:rsidP="007A0BE7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More effective service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</w:t>
            </w:r>
          </w:p>
          <w:p w14:paraId="293313A7" w14:textId="77777777" w:rsidR="007A0BE7" w:rsidRDefault="007A0BE7" w:rsidP="007A0BE7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785A81D" w14:textId="77777777" w:rsidR="007A0BE7" w:rsidRDefault="007A0BE7" w:rsidP="007A0BE7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Reduced health inequalities.</w:t>
            </w:r>
          </w:p>
          <w:p w14:paraId="4D8F2E16" w14:textId="77777777" w:rsidR="007A0BE7" w:rsidRDefault="007A0BE7" w:rsidP="007A0BE7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8E7DBC3" w14:textId="77777777" w:rsidR="007A0BE7" w:rsidRDefault="007A0BE7" w:rsidP="007A0BE7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Increased p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atient satisfaction with delivery of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s,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as measured by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provider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 and commissioners.</w:t>
            </w:r>
          </w:p>
          <w:p w14:paraId="46E9C53C" w14:textId="01739F5C" w:rsidR="00C106AC" w:rsidRPr="00963F53" w:rsidRDefault="00C106A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4DADDECB" w14:textId="77777777" w:rsidR="006D7D9A" w:rsidRDefault="006D7D9A" w:rsidP="00196457">
      <w:pPr>
        <w:rPr>
          <w:rFonts w:ascii="Century Gothic" w:hAnsi="Century Gothic"/>
          <w:b/>
          <w:bCs/>
        </w:rPr>
      </w:pPr>
    </w:p>
    <w:p w14:paraId="63154491" w14:textId="77777777" w:rsidR="00AE2072" w:rsidRDefault="00AE2072" w:rsidP="00AE2072">
      <w:pPr>
        <w:rPr>
          <w:rFonts w:ascii="Century Gothic" w:hAnsi="Century Gothic"/>
          <w:b/>
          <w:bCs/>
        </w:rPr>
      </w:pPr>
    </w:p>
    <w:p w14:paraId="4A338B1A" w14:textId="77777777" w:rsidR="00AE2072" w:rsidRDefault="00AE2072" w:rsidP="00AE2072">
      <w:pPr>
        <w:rPr>
          <w:rFonts w:ascii="Century Gothic" w:hAnsi="Century Gothic"/>
          <w:b/>
          <w:bCs/>
        </w:rPr>
        <w:sectPr w:rsidR="00AE2072" w:rsidSect="006457C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67CFFDF" w14:textId="77777777" w:rsidR="00AE2072" w:rsidRDefault="00AE2072" w:rsidP="00AE2072">
      <w:pPr>
        <w:rPr>
          <w:rFonts w:ascii="Century Gothic" w:hAnsi="Century Gothic"/>
          <w:b/>
          <w:bCs/>
        </w:rPr>
      </w:pPr>
    </w:p>
    <w:p w14:paraId="7B95A59C" w14:textId="06A9C7A0" w:rsidR="00AE2072" w:rsidRPr="00AE2072" w:rsidRDefault="00AE2072" w:rsidP="00AE2072">
      <w:pPr>
        <w:tabs>
          <w:tab w:val="left" w:pos="799"/>
        </w:tabs>
        <w:rPr>
          <w:rFonts w:ascii="Century Gothic" w:hAnsi="Century Gothic"/>
        </w:rPr>
        <w:sectPr w:rsidR="00AE2072" w:rsidRPr="00AE2072" w:rsidSect="00AE2072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285315D" w14:textId="75153E33" w:rsidR="0030313B" w:rsidRPr="00AE2072" w:rsidRDefault="0030313B" w:rsidP="0030313B">
      <w:pPr>
        <w:rPr>
          <w:rFonts w:ascii="Century Gothic" w:hAnsi="Century Gothic"/>
          <w:b/>
          <w:bCs/>
          <w:sz w:val="28"/>
          <w:szCs w:val="28"/>
        </w:rPr>
      </w:pPr>
      <w:r w:rsidRPr="00AE2072">
        <w:rPr>
          <w:rFonts w:ascii="Century Gothic" w:hAnsi="Century Gothic"/>
          <w:b/>
          <w:bCs/>
          <w:sz w:val="28"/>
          <w:szCs w:val="28"/>
        </w:rPr>
        <w:lastRenderedPageBreak/>
        <w:t xml:space="preserve">Appendix </w:t>
      </w:r>
      <w:r>
        <w:rPr>
          <w:rFonts w:ascii="Century Gothic" w:hAnsi="Century Gothic"/>
          <w:b/>
          <w:bCs/>
          <w:sz w:val="28"/>
          <w:szCs w:val="28"/>
        </w:rPr>
        <w:t>2</w:t>
      </w:r>
      <w:r w:rsidRPr="00AE2072">
        <w:rPr>
          <w:rFonts w:ascii="Century Gothic" w:hAnsi="Century Gothic"/>
          <w:b/>
          <w:bCs/>
          <w:sz w:val="28"/>
          <w:szCs w:val="28"/>
        </w:rPr>
        <w:t xml:space="preserve">: The Outcome </w:t>
      </w:r>
      <w:r w:rsidR="00296F80">
        <w:rPr>
          <w:rFonts w:ascii="Century Gothic" w:hAnsi="Century Gothic"/>
          <w:b/>
          <w:bCs/>
          <w:sz w:val="28"/>
          <w:szCs w:val="28"/>
        </w:rPr>
        <w:t>Levels and People</w:t>
      </w:r>
    </w:p>
    <w:p w14:paraId="2D02D988" w14:textId="615C2AF6" w:rsidR="00297862" w:rsidRPr="00AB3D9D" w:rsidRDefault="00CB14DA" w:rsidP="00196457">
      <w:pPr>
        <w:rPr>
          <w:rFonts w:ascii="Century Gothic" w:hAnsi="Century Gothic"/>
          <w:sz w:val="22"/>
          <w:szCs w:val="22"/>
        </w:rPr>
      </w:pPr>
      <w:r w:rsidRPr="00AB3D9D">
        <w:rPr>
          <w:rFonts w:ascii="Century Gothic" w:hAnsi="Century Gothic"/>
          <w:sz w:val="22"/>
          <w:szCs w:val="22"/>
        </w:rPr>
        <w:t>Any o</w:t>
      </w:r>
      <w:r w:rsidR="00651D97" w:rsidRPr="00AB3D9D">
        <w:rPr>
          <w:rFonts w:ascii="Century Gothic" w:hAnsi="Century Gothic"/>
          <w:sz w:val="22"/>
          <w:szCs w:val="22"/>
        </w:rPr>
        <w:t xml:space="preserve">utcome </w:t>
      </w:r>
      <w:r w:rsidR="00162161" w:rsidRPr="00AB3D9D">
        <w:rPr>
          <w:rFonts w:ascii="Century Gothic" w:hAnsi="Century Gothic"/>
          <w:sz w:val="22"/>
          <w:szCs w:val="22"/>
        </w:rPr>
        <w:t xml:space="preserve">within any of the domains </w:t>
      </w:r>
      <w:r w:rsidR="00195A5E">
        <w:rPr>
          <w:rFonts w:ascii="Century Gothic" w:hAnsi="Century Gothic"/>
          <w:sz w:val="22"/>
          <w:szCs w:val="22"/>
        </w:rPr>
        <w:t>will</w:t>
      </w:r>
      <w:r w:rsidR="000C0A55" w:rsidRPr="00AB3D9D">
        <w:rPr>
          <w:rFonts w:ascii="Century Gothic" w:hAnsi="Century Gothic"/>
          <w:sz w:val="22"/>
          <w:szCs w:val="22"/>
        </w:rPr>
        <w:t xml:space="preserve"> </w:t>
      </w:r>
      <w:r w:rsidR="00195A5E">
        <w:rPr>
          <w:rFonts w:ascii="Century Gothic" w:hAnsi="Century Gothic"/>
          <w:sz w:val="22"/>
          <w:szCs w:val="22"/>
        </w:rPr>
        <w:t xml:space="preserve">lead to change </w:t>
      </w:r>
      <w:r w:rsidR="000C0A55" w:rsidRPr="00AB3D9D">
        <w:rPr>
          <w:rFonts w:ascii="Century Gothic" w:hAnsi="Century Gothic"/>
          <w:sz w:val="22"/>
          <w:szCs w:val="22"/>
        </w:rPr>
        <w:t xml:space="preserve">at </w:t>
      </w:r>
      <w:r w:rsidR="0072609D">
        <w:rPr>
          <w:rFonts w:ascii="Century Gothic" w:hAnsi="Century Gothic"/>
          <w:sz w:val="22"/>
          <w:szCs w:val="22"/>
        </w:rPr>
        <w:t xml:space="preserve">one or more </w:t>
      </w:r>
      <w:r w:rsidR="005839DC" w:rsidRPr="00AB3D9D">
        <w:rPr>
          <w:rFonts w:ascii="Century Gothic" w:hAnsi="Century Gothic"/>
          <w:sz w:val="22"/>
          <w:szCs w:val="22"/>
        </w:rPr>
        <w:t>levels across the healthcare infrastructure</w:t>
      </w:r>
      <w:r w:rsidR="00C522E6">
        <w:rPr>
          <w:rFonts w:ascii="Century Gothic" w:hAnsi="Century Gothic"/>
          <w:sz w:val="22"/>
          <w:szCs w:val="22"/>
        </w:rPr>
        <w:t>,</w:t>
      </w:r>
      <w:r w:rsidR="00FE7AB9" w:rsidRPr="00AB3D9D">
        <w:rPr>
          <w:rFonts w:ascii="Century Gothic" w:hAnsi="Century Gothic"/>
          <w:sz w:val="22"/>
          <w:szCs w:val="22"/>
        </w:rPr>
        <w:t xml:space="preserve"> from national to </w:t>
      </w:r>
      <w:r w:rsidR="00423ABB" w:rsidRPr="00AB3D9D">
        <w:rPr>
          <w:rFonts w:ascii="Century Gothic" w:hAnsi="Century Gothic"/>
          <w:sz w:val="22"/>
          <w:szCs w:val="22"/>
        </w:rPr>
        <w:t>very localised.</w:t>
      </w:r>
    </w:p>
    <w:p w14:paraId="28F9F23F" w14:textId="5FDC0554" w:rsidR="00FA3B24" w:rsidRDefault="00422B15" w:rsidP="00196457">
      <w:pPr>
        <w:rPr>
          <w:rFonts w:ascii="Century Gothic" w:hAnsi="Century Gothic"/>
          <w:sz w:val="22"/>
          <w:szCs w:val="22"/>
        </w:rPr>
      </w:pPr>
      <w:r w:rsidRPr="00AB3D9D">
        <w:rPr>
          <w:rFonts w:ascii="Century Gothic" w:hAnsi="Century Gothic"/>
          <w:sz w:val="22"/>
          <w:szCs w:val="22"/>
        </w:rPr>
        <w:t>At the same time</w:t>
      </w:r>
      <w:r w:rsidR="00C639A5" w:rsidRPr="00AB3D9D">
        <w:rPr>
          <w:rFonts w:ascii="Century Gothic" w:hAnsi="Century Gothic"/>
          <w:sz w:val="22"/>
          <w:szCs w:val="22"/>
        </w:rPr>
        <w:t xml:space="preserve">, </w:t>
      </w:r>
      <w:r w:rsidR="002C1623" w:rsidRPr="00AB3D9D">
        <w:rPr>
          <w:rFonts w:ascii="Century Gothic" w:hAnsi="Century Gothic"/>
          <w:sz w:val="22"/>
          <w:szCs w:val="22"/>
        </w:rPr>
        <w:t>the outcome that is</w:t>
      </w:r>
      <w:r w:rsidR="00B038F1" w:rsidRPr="00AB3D9D">
        <w:rPr>
          <w:rFonts w:ascii="Century Gothic" w:hAnsi="Century Gothic"/>
          <w:sz w:val="22"/>
          <w:szCs w:val="22"/>
        </w:rPr>
        <w:t xml:space="preserve"> achieved </w:t>
      </w:r>
      <w:r w:rsidR="00A41AED" w:rsidRPr="00AB3D9D">
        <w:rPr>
          <w:rFonts w:ascii="Century Gothic" w:hAnsi="Century Gothic"/>
          <w:sz w:val="22"/>
          <w:szCs w:val="22"/>
        </w:rPr>
        <w:t xml:space="preserve">could </w:t>
      </w:r>
      <w:r w:rsidR="0049346B" w:rsidRPr="00AB3D9D">
        <w:rPr>
          <w:rFonts w:ascii="Century Gothic" w:hAnsi="Century Gothic"/>
          <w:sz w:val="22"/>
          <w:szCs w:val="22"/>
        </w:rPr>
        <w:t xml:space="preserve">be </w:t>
      </w:r>
      <w:r w:rsidR="001C40CE" w:rsidRPr="00AB3D9D">
        <w:rPr>
          <w:rFonts w:ascii="Century Gothic" w:hAnsi="Century Gothic"/>
          <w:sz w:val="22"/>
          <w:szCs w:val="22"/>
        </w:rPr>
        <w:t xml:space="preserve">benefiting </w:t>
      </w:r>
      <w:r w:rsidR="002C1623" w:rsidRPr="00AB3D9D">
        <w:rPr>
          <w:rFonts w:ascii="Century Gothic" w:hAnsi="Century Gothic"/>
          <w:sz w:val="22"/>
          <w:szCs w:val="22"/>
        </w:rPr>
        <w:t>one person or many</w:t>
      </w:r>
      <w:r w:rsidR="00FA3B24" w:rsidRPr="00AB3D9D">
        <w:rPr>
          <w:rFonts w:ascii="Century Gothic" w:hAnsi="Century Gothic"/>
          <w:sz w:val="22"/>
          <w:szCs w:val="22"/>
        </w:rPr>
        <w:t xml:space="preserve"> who experience health inequalities and contributing to </w:t>
      </w:r>
      <w:r w:rsidR="00B60B93" w:rsidRPr="00AB3D9D">
        <w:rPr>
          <w:rFonts w:ascii="Century Gothic" w:hAnsi="Century Gothic"/>
          <w:sz w:val="22"/>
          <w:szCs w:val="22"/>
        </w:rPr>
        <w:t>reducin</w:t>
      </w:r>
      <w:r w:rsidR="00CB14DA" w:rsidRPr="00AB3D9D">
        <w:rPr>
          <w:rFonts w:ascii="Century Gothic" w:hAnsi="Century Gothic"/>
          <w:sz w:val="22"/>
          <w:szCs w:val="22"/>
        </w:rPr>
        <w:t>g these</w:t>
      </w:r>
      <w:r w:rsidR="00B62604">
        <w:rPr>
          <w:rFonts w:ascii="Century Gothic" w:hAnsi="Century Gothic"/>
          <w:sz w:val="22"/>
          <w:szCs w:val="22"/>
        </w:rPr>
        <w:t xml:space="preserve"> inequalities</w:t>
      </w:r>
      <w:r w:rsidR="00CB14DA" w:rsidRPr="00AB3D9D">
        <w:rPr>
          <w:rFonts w:ascii="Century Gothic" w:hAnsi="Century Gothic"/>
          <w:sz w:val="22"/>
          <w:szCs w:val="22"/>
        </w:rPr>
        <w:t>.</w:t>
      </w:r>
    </w:p>
    <w:p w14:paraId="47D1CFDD" w14:textId="77777777" w:rsidR="00B62604" w:rsidRPr="00AB3D9D" w:rsidRDefault="00B62604" w:rsidP="00196457">
      <w:pPr>
        <w:rPr>
          <w:rFonts w:ascii="Century Gothic" w:hAnsi="Century Gothic"/>
          <w:sz w:val="22"/>
          <w:szCs w:val="22"/>
        </w:rPr>
      </w:pPr>
    </w:p>
    <w:p w14:paraId="3B11ACF1" w14:textId="645E7DAD" w:rsidR="00297862" w:rsidRDefault="00B9417F" w:rsidP="00196457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180838D5" wp14:editId="4E3012EC">
            <wp:extent cx="6371575" cy="4504435"/>
            <wp:effectExtent l="0" t="0" r="0" b="0"/>
            <wp:docPr id="271656950" name="Picture 1" descr="A diagram of a diagram of a health care infra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56950" name="Picture 1" descr="A diagram of a diagram of a health care infrastructure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807" cy="451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F688C" w14:textId="77777777" w:rsidR="00CE11D6" w:rsidRPr="00297862" w:rsidRDefault="00CE11D6" w:rsidP="00196457">
      <w:pPr>
        <w:rPr>
          <w:rFonts w:ascii="Century Gothic" w:hAnsi="Century Gothic"/>
        </w:rPr>
      </w:pPr>
    </w:p>
    <w:p w14:paraId="05E8D1CE" w14:textId="77777777" w:rsidR="003F415D" w:rsidRDefault="003F415D" w:rsidP="00196457">
      <w:pPr>
        <w:rPr>
          <w:rFonts w:ascii="Century Gothic" w:hAnsi="Century Gothic"/>
          <w:b/>
          <w:bCs/>
          <w:sz w:val="28"/>
          <w:szCs w:val="28"/>
        </w:rPr>
        <w:sectPr w:rsidR="003F415D" w:rsidSect="006D7D9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18920D7" w14:textId="36DB6F25" w:rsidR="0030313B" w:rsidRPr="00CC2B39" w:rsidRDefault="00CC2B39" w:rsidP="00196457">
      <w:pPr>
        <w:rPr>
          <w:rFonts w:ascii="Century Gothic" w:hAnsi="Century Gothic"/>
          <w:b/>
          <w:bCs/>
          <w:sz w:val="28"/>
          <w:szCs w:val="28"/>
        </w:rPr>
      </w:pPr>
      <w:r w:rsidRPr="00AE2072">
        <w:rPr>
          <w:rFonts w:ascii="Century Gothic" w:hAnsi="Century Gothic"/>
          <w:b/>
          <w:bCs/>
          <w:sz w:val="28"/>
          <w:szCs w:val="28"/>
        </w:rPr>
        <w:lastRenderedPageBreak/>
        <w:t xml:space="preserve">Appendix </w:t>
      </w:r>
      <w:r>
        <w:rPr>
          <w:rFonts w:ascii="Century Gothic" w:hAnsi="Century Gothic"/>
          <w:b/>
          <w:bCs/>
          <w:sz w:val="28"/>
          <w:szCs w:val="28"/>
        </w:rPr>
        <w:t>3</w:t>
      </w:r>
      <w:r w:rsidRPr="00AE2072">
        <w:rPr>
          <w:rFonts w:ascii="Century Gothic" w:hAnsi="Century Gothic"/>
          <w:b/>
          <w:bCs/>
          <w:sz w:val="28"/>
          <w:szCs w:val="28"/>
        </w:rPr>
        <w:t xml:space="preserve">: The Outcome </w:t>
      </w:r>
      <w:r>
        <w:rPr>
          <w:rFonts w:ascii="Century Gothic" w:hAnsi="Century Gothic"/>
          <w:b/>
          <w:bCs/>
          <w:sz w:val="28"/>
          <w:szCs w:val="28"/>
        </w:rPr>
        <w:t>Mechanisms</w:t>
      </w:r>
    </w:p>
    <w:p w14:paraId="36F50390" w14:textId="4B580B90" w:rsidR="00E40CC0" w:rsidRDefault="00AF1B70" w:rsidP="001964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In addition to </w:t>
      </w:r>
      <w:r w:rsidR="00B900D1">
        <w:rPr>
          <w:rFonts w:ascii="Century Gothic" w:hAnsi="Century Gothic"/>
          <w:sz w:val="22"/>
          <w:szCs w:val="22"/>
        </w:rPr>
        <w:t xml:space="preserve">considering the domains </w:t>
      </w:r>
      <w:r w:rsidR="009E66EA">
        <w:rPr>
          <w:rFonts w:ascii="Century Gothic" w:hAnsi="Century Gothic"/>
          <w:sz w:val="22"/>
          <w:szCs w:val="22"/>
        </w:rPr>
        <w:t xml:space="preserve">of outcomes achieved, the levels where change happens, and the people </w:t>
      </w:r>
      <w:r w:rsidR="00416E00">
        <w:rPr>
          <w:rFonts w:ascii="Century Gothic" w:hAnsi="Century Gothic"/>
          <w:sz w:val="22"/>
          <w:szCs w:val="22"/>
        </w:rPr>
        <w:t>benefiting, it also seems useful to think about the</w:t>
      </w:r>
      <w:r w:rsidR="00D42518">
        <w:rPr>
          <w:rFonts w:ascii="Century Gothic" w:hAnsi="Century Gothic"/>
          <w:sz w:val="22"/>
          <w:szCs w:val="22"/>
        </w:rPr>
        <w:t xml:space="preserve"> </w:t>
      </w:r>
      <w:r w:rsidR="006C7865">
        <w:rPr>
          <w:rFonts w:ascii="Century Gothic" w:hAnsi="Century Gothic"/>
          <w:sz w:val="22"/>
          <w:szCs w:val="22"/>
        </w:rPr>
        <w:t>types</w:t>
      </w:r>
      <w:r w:rsidR="00A70553">
        <w:rPr>
          <w:rFonts w:ascii="Century Gothic" w:hAnsi="Century Gothic"/>
          <w:sz w:val="22"/>
          <w:szCs w:val="22"/>
        </w:rPr>
        <w:t xml:space="preserve"> and stages</w:t>
      </w:r>
      <w:r w:rsidR="006C7865">
        <w:rPr>
          <w:rFonts w:ascii="Century Gothic" w:hAnsi="Century Gothic"/>
          <w:sz w:val="22"/>
          <w:szCs w:val="22"/>
        </w:rPr>
        <w:t xml:space="preserve"> of interaction</w:t>
      </w:r>
      <w:r w:rsidR="00C465A9">
        <w:rPr>
          <w:rFonts w:ascii="Century Gothic" w:hAnsi="Century Gothic"/>
          <w:sz w:val="22"/>
          <w:szCs w:val="22"/>
        </w:rPr>
        <w:t xml:space="preserve"> between Healthwatch and decision</w:t>
      </w:r>
      <w:r w:rsidR="00F223F1">
        <w:rPr>
          <w:rFonts w:ascii="Century Gothic" w:hAnsi="Century Gothic"/>
          <w:sz w:val="22"/>
          <w:szCs w:val="22"/>
        </w:rPr>
        <w:t>-</w:t>
      </w:r>
      <w:r w:rsidR="00C465A9">
        <w:rPr>
          <w:rFonts w:ascii="Century Gothic" w:hAnsi="Century Gothic"/>
          <w:sz w:val="22"/>
          <w:szCs w:val="22"/>
        </w:rPr>
        <w:t>makers</w:t>
      </w:r>
      <w:r w:rsidR="00380ED9">
        <w:rPr>
          <w:rFonts w:ascii="Century Gothic" w:hAnsi="Century Gothic"/>
          <w:sz w:val="22"/>
          <w:szCs w:val="22"/>
        </w:rPr>
        <w:t xml:space="preserve"> </w:t>
      </w:r>
      <w:r w:rsidR="006C7865">
        <w:rPr>
          <w:rFonts w:ascii="Century Gothic" w:hAnsi="Century Gothic"/>
          <w:sz w:val="22"/>
          <w:szCs w:val="22"/>
        </w:rPr>
        <w:t xml:space="preserve">that </w:t>
      </w:r>
      <w:r w:rsidR="00835B8F">
        <w:rPr>
          <w:rFonts w:ascii="Century Gothic" w:hAnsi="Century Gothic"/>
          <w:sz w:val="22"/>
          <w:szCs w:val="22"/>
        </w:rPr>
        <w:t>can lead to an outcome.</w:t>
      </w:r>
    </w:p>
    <w:p w14:paraId="5B72D155" w14:textId="51BFA32F" w:rsidR="00D42518" w:rsidRDefault="00D11220" w:rsidP="001964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Considering</w:t>
      </w:r>
      <w:r w:rsidR="00E40CC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the form</w:t>
      </w:r>
      <w:r w:rsidR="00CF1110">
        <w:rPr>
          <w:rFonts w:ascii="Century Gothic" w:hAnsi="Century Gothic"/>
          <w:sz w:val="22"/>
          <w:szCs w:val="22"/>
        </w:rPr>
        <w:t xml:space="preserve"> of</w:t>
      </w:r>
      <w:r>
        <w:rPr>
          <w:rFonts w:ascii="Century Gothic" w:hAnsi="Century Gothic"/>
          <w:sz w:val="22"/>
          <w:szCs w:val="22"/>
        </w:rPr>
        <w:t xml:space="preserve"> these interactions could </w:t>
      </w:r>
      <w:r w:rsidR="00F31D59">
        <w:rPr>
          <w:rFonts w:ascii="Century Gothic" w:hAnsi="Century Gothic"/>
          <w:sz w:val="22"/>
          <w:szCs w:val="22"/>
        </w:rPr>
        <w:t xml:space="preserve">help identify Healthwatch </w:t>
      </w:r>
      <w:r w:rsidR="00126EF7">
        <w:rPr>
          <w:rFonts w:ascii="Century Gothic" w:hAnsi="Century Gothic"/>
          <w:sz w:val="22"/>
          <w:szCs w:val="22"/>
        </w:rPr>
        <w:t xml:space="preserve">impact </w:t>
      </w:r>
      <w:r w:rsidR="00FC6CAB">
        <w:rPr>
          <w:rFonts w:ascii="Century Gothic" w:hAnsi="Century Gothic"/>
          <w:sz w:val="22"/>
          <w:szCs w:val="22"/>
        </w:rPr>
        <w:t>that</w:t>
      </w:r>
      <w:r w:rsidR="00F31D59">
        <w:rPr>
          <w:rFonts w:ascii="Century Gothic" w:hAnsi="Century Gothic"/>
          <w:sz w:val="22"/>
          <w:szCs w:val="22"/>
        </w:rPr>
        <w:t xml:space="preserve"> </w:t>
      </w:r>
      <w:r w:rsidR="00B12D11">
        <w:rPr>
          <w:rFonts w:ascii="Century Gothic" w:hAnsi="Century Gothic"/>
          <w:sz w:val="22"/>
          <w:szCs w:val="22"/>
        </w:rPr>
        <w:t xml:space="preserve">could </w:t>
      </w:r>
      <w:r w:rsidR="00F05C7C">
        <w:rPr>
          <w:rFonts w:ascii="Century Gothic" w:hAnsi="Century Gothic"/>
          <w:sz w:val="22"/>
          <w:szCs w:val="22"/>
        </w:rPr>
        <w:t xml:space="preserve">otherwise </w:t>
      </w:r>
      <w:r w:rsidR="00B12D11">
        <w:rPr>
          <w:rFonts w:ascii="Century Gothic" w:hAnsi="Century Gothic"/>
          <w:sz w:val="22"/>
          <w:szCs w:val="22"/>
        </w:rPr>
        <w:t>go unnoticed.</w:t>
      </w:r>
    </w:p>
    <w:p w14:paraId="225B40B4" w14:textId="1E0FEF72" w:rsidR="00F03DC1" w:rsidRPr="00AB3D9D" w:rsidRDefault="00F03DC1" w:rsidP="00196457">
      <w:pPr>
        <w:rPr>
          <w:rFonts w:ascii="Century Gothic" w:hAnsi="Century Gothic"/>
          <w:sz w:val="22"/>
          <w:szCs w:val="22"/>
        </w:rPr>
      </w:pPr>
      <w:r w:rsidRPr="00AB3D9D">
        <w:rPr>
          <w:rFonts w:ascii="Century Gothic" w:hAnsi="Century Gothic"/>
          <w:sz w:val="22"/>
          <w:szCs w:val="22"/>
        </w:rPr>
        <w:t xml:space="preserve">These </w:t>
      </w:r>
      <w:r w:rsidR="00D11220">
        <w:rPr>
          <w:rFonts w:ascii="Century Gothic" w:hAnsi="Century Gothic"/>
          <w:sz w:val="22"/>
          <w:szCs w:val="22"/>
        </w:rPr>
        <w:t xml:space="preserve">different types of interaction </w:t>
      </w:r>
      <w:r w:rsidRPr="00AB3D9D">
        <w:rPr>
          <w:rFonts w:ascii="Century Gothic" w:hAnsi="Century Gothic"/>
          <w:sz w:val="22"/>
          <w:szCs w:val="22"/>
        </w:rPr>
        <w:t>have been referred to as ‘mechanisms’ in relation to Care Quality Commission regulatory activity.</w:t>
      </w:r>
    </w:p>
    <w:p w14:paraId="7E4E6AB2" w14:textId="45E8B019" w:rsidR="001D49A2" w:rsidRPr="00AB3D9D" w:rsidRDefault="007A6408" w:rsidP="00501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 w:right="662"/>
        <w:rPr>
          <w:rFonts w:ascii="Century Gothic" w:hAnsi="Century Gothic"/>
          <w:sz w:val="22"/>
          <w:szCs w:val="22"/>
        </w:rPr>
      </w:pPr>
      <w:r w:rsidRPr="00AB3D9D">
        <w:rPr>
          <w:rFonts w:ascii="Century Gothic" w:hAnsi="Century Gothic"/>
          <w:sz w:val="22"/>
          <w:szCs w:val="22"/>
        </w:rPr>
        <w:t>‘</w:t>
      </w:r>
      <w:r w:rsidR="001D49A2" w:rsidRPr="00AB3D9D">
        <w:rPr>
          <w:rFonts w:ascii="Century Gothic" w:hAnsi="Century Gothic"/>
          <w:sz w:val="22"/>
          <w:szCs w:val="22"/>
        </w:rPr>
        <w:t xml:space="preserve">The King’s Fund and Alliance Manchester Business School </w:t>
      </w:r>
      <w:r w:rsidR="00B56380" w:rsidRPr="00AB3D9D">
        <w:rPr>
          <w:rFonts w:ascii="Century Gothic" w:hAnsi="Century Gothic"/>
          <w:sz w:val="22"/>
          <w:szCs w:val="22"/>
        </w:rPr>
        <w:t>[developed a]</w:t>
      </w:r>
      <w:r w:rsidR="001D49A2" w:rsidRPr="00AB3D9D">
        <w:rPr>
          <w:rFonts w:ascii="Century Gothic" w:hAnsi="Century Gothic"/>
          <w:sz w:val="22"/>
          <w:szCs w:val="22"/>
        </w:rPr>
        <w:t xml:space="preserve"> framework that outlines eight ways in which regulation can affect provider performance, to help regulators, providers and </w:t>
      </w:r>
      <w:proofErr w:type="gramStart"/>
      <w:r w:rsidR="001D49A2" w:rsidRPr="00AB3D9D">
        <w:rPr>
          <w:rFonts w:ascii="Century Gothic" w:hAnsi="Century Gothic"/>
          <w:sz w:val="22"/>
          <w:szCs w:val="22"/>
        </w:rPr>
        <w:t>policy-makers</w:t>
      </w:r>
      <w:proofErr w:type="gramEnd"/>
      <w:r w:rsidR="001D49A2" w:rsidRPr="00AB3D9D">
        <w:rPr>
          <w:rFonts w:ascii="Century Gothic" w:hAnsi="Century Gothic"/>
          <w:sz w:val="22"/>
          <w:szCs w:val="22"/>
        </w:rPr>
        <w:t xml:space="preserve"> understand the impact of regulation. It shows that impacts can be produced before, during and after inspection, and through interactions between regulators, providers and other key stakeholders.</w:t>
      </w:r>
      <w:r w:rsidRPr="00AB3D9D">
        <w:rPr>
          <w:rFonts w:ascii="Century Gothic" w:hAnsi="Century Gothic"/>
          <w:sz w:val="22"/>
          <w:szCs w:val="22"/>
        </w:rPr>
        <w:t>’</w:t>
      </w:r>
      <w:r w:rsidRPr="00AB3D9D">
        <w:rPr>
          <w:rStyle w:val="FootnoteReference"/>
          <w:rFonts w:ascii="Century Gothic" w:hAnsi="Century Gothic"/>
          <w:sz w:val="22"/>
          <w:szCs w:val="22"/>
        </w:rPr>
        <w:footnoteReference w:id="2"/>
      </w:r>
    </w:p>
    <w:p w14:paraId="0CFA7165" w14:textId="77777777" w:rsidR="00B33941" w:rsidRDefault="00B33941" w:rsidP="003C1ABC">
      <w:pPr>
        <w:rPr>
          <w:rFonts w:ascii="Century Gothic" w:hAnsi="Century Gothic"/>
          <w:sz w:val="22"/>
          <w:szCs w:val="22"/>
        </w:rPr>
      </w:pPr>
    </w:p>
    <w:p w14:paraId="1FEBDE45" w14:textId="77777777" w:rsidR="00942AD6" w:rsidRDefault="00DC2426" w:rsidP="003C1ABC">
      <w:pPr>
        <w:rPr>
          <w:rFonts w:ascii="Century Gothic" w:hAnsi="Century Gothic"/>
          <w:sz w:val="22"/>
          <w:szCs w:val="22"/>
        </w:rPr>
      </w:pPr>
      <w:r w:rsidRPr="00AB3D9D">
        <w:rPr>
          <w:rFonts w:ascii="Century Gothic" w:hAnsi="Century Gothic"/>
          <w:sz w:val="22"/>
          <w:szCs w:val="22"/>
        </w:rPr>
        <w:t>The</w:t>
      </w:r>
      <w:r w:rsidR="001878F9" w:rsidRPr="00AB3D9D">
        <w:rPr>
          <w:rFonts w:ascii="Century Gothic" w:hAnsi="Century Gothic"/>
          <w:sz w:val="22"/>
          <w:szCs w:val="22"/>
        </w:rPr>
        <w:t xml:space="preserve"> mechanisms </w:t>
      </w:r>
      <w:r w:rsidR="0033388C">
        <w:rPr>
          <w:rFonts w:ascii="Century Gothic" w:hAnsi="Century Gothic"/>
          <w:sz w:val="22"/>
          <w:szCs w:val="22"/>
        </w:rPr>
        <w:t>that the above work identified and that</w:t>
      </w:r>
      <w:r w:rsidR="001878F9" w:rsidRPr="00AB3D9D">
        <w:rPr>
          <w:rFonts w:ascii="Century Gothic" w:hAnsi="Century Gothic"/>
          <w:sz w:val="22"/>
          <w:szCs w:val="22"/>
        </w:rPr>
        <w:t xml:space="preserve"> could </w:t>
      </w:r>
      <w:r w:rsidR="0033388C">
        <w:rPr>
          <w:rFonts w:ascii="Century Gothic" w:hAnsi="Century Gothic"/>
          <w:sz w:val="22"/>
          <w:szCs w:val="22"/>
        </w:rPr>
        <w:t xml:space="preserve">also </w:t>
      </w:r>
      <w:r w:rsidR="001878F9" w:rsidRPr="00AB3D9D">
        <w:rPr>
          <w:rFonts w:ascii="Century Gothic" w:hAnsi="Century Gothic"/>
          <w:sz w:val="22"/>
          <w:szCs w:val="22"/>
        </w:rPr>
        <w:t>be useful</w:t>
      </w:r>
      <w:r w:rsidR="00942AD6">
        <w:rPr>
          <w:rFonts w:ascii="Century Gothic" w:hAnsi="Century Gothic"/>
          <w:sz w:val="22"/>
          <w:szCs w:val="22"/>
        </w:rPr>
        <w:t xml:space="preserve"> </w:t>
      </w:r>
      <w:r w:rsidR="001878F9" w:rsidRPr="00AB3D9D">
        <w:rPr>
          <w:rFonts w:ascii="Century Gothic" w:hAnsi="Century Gothic"/>
          <w:sz w:val="22"/>
          <w:szCs w:val="22"/>
        </w:rPr>
        <w:t xml:space="preserve">to consider in relation to </w:t>
      </w:r>
      <w:r w:rsidR="003C7D71" w:rsidRPr="00AB3D9D">
        <w:rPr>
          <w:rFonts w:ascii="Century Gothic" w:hAnsi="Century Gothic"/>
          <w:sz w:val="22"/>
          <w:szCs w:val="22"/>
        </w:rPr>
        <w:t xml:space="preserve">how </w:t>
      </w:r>
      <w:r w:rsidR="00942AD6">
        <w:rPr>
          <w:rFonts w:ascii="Century Gothic" w:hAnsi="Century Gothic"/>
          <w:sz w:val="22"/>
          <w:szCs w:val="22"/>
        </w:rPr>
        <w:t>Healthwatch achieves change</w:t>
      </w:r>
      <w:r w:rsidR="003C7D71" w:rsidRPr="00AB3D9D">
        <w:rPr>
          <w:rFonts w:ascii="Century Gothic" w:hAnsi="Century Gothic"/>
          <w:sz w:val="22"/>
          <w:szCs w:val="22"/>
        </w:rPr>
        <w:t xml:space="preserve"> are</w:t>
      </w:r>
      <w:r w:rsidR="006B3693" w:rsidRPr="00AB3D9D">
        <w:rPr>
          <w:rFonts w:ascii="Century Gothic" w:hAnsi="Century Gothic"/>
          <w:sz w:val="22"/>
          <w:szCs w:val="22"/>
        </w:rPr>
        <w:t xml:space="preserve"> listed below.</w:t>
      </w:r>
    </w:p>
    <w:p w14:paraId="136E7AEC" w14:textId="462BF892" w:rsidR="00AB3D9D" w:rsidRPr="00807AB6" w:rsidRDefault="006B3693" w:rsidP="003C1ABC">
      <w:pPr>
        <w:rPr>
          <w:rFonts w:ascii="Century Gothic" w:hAnsi="Century Gothic"/>
          <w:sz w:val="22"/>
          <w:szCs w:val="22"/>
        </w:rPr>
      </w:pPr>
      <w:r w:rsidRPr="00AB3D9D">
        <w:rPr>
          <w:rFonts w:ascii="Century Gothic" w:hAnsi="Century Gothic"/>
          <w:sz w:val="22"/>
          <w:szCs w:val="22"/>
        </w:rPr>
        <w:t xml:space="preserve">Alongside each is one example of </w:t>
      </w:r>
      <w:r w:rsidR="00291C17" w:rsidRPr="00AB3D9D">
        <w:rPr>
          <w:rFonts w:ascii="Century Gothic" w:hAnsi="Century Gothic"/>
          <w:sz w:val="22"/>
          <w:szCs w:val="22"/>
        </w:rPr>
        <w:t xml:space="preserve">how the mechanism could </w:t>
      </w:r>
      <w:r w:rsidR="00AB3D9D" w:rsidRPr="00AB3D9D">
        <w:rPr>
          <w:rFonts w:ascii="Century Gothic" w:hAnsi="Century Gothic"/>
          <w:sz w:val="22"/>
          <w:szCs w:val="22"/>
        </w:rPr>
        <w:t>relate to Healthwatch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34"/>
      </w:tblGrid>
      <w:tr w:rsidR="00AB3D9D" w:rsidRPr="00696C4E" w14:paraId="18B6B3CC" w14:textId="77777777" w:rsidTr="006F6837">
        <w:tc>
          <w:tcPr>
            <w:tcW w:w="1980" w:type="dxa"/>
            <w:shd w:val="clear" w:color="auto" w:fill="D9D9D9" w:themeFill="background1" w:themeFillShade="D9"/>
          </w:tcPr>
          <w:p w14:paraId="6299D294" w14:textId="001C6334" w:rsidR="00AB3D9D" w:rsidRPr="00696C4E" w:rsidRDefault="00696C4E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t>Mechanism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2305640" w14:textId="332AA2CD" w:rsidR="00AB3D9D" w:rsidRPr="00696C4E" w:rsidRDefault="00CB03D8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Summary of what causes the impact</w:t>
            </w:r>
          </w:p>
        </w:tc>
        <w:tc>
          <w:tcPr>
            <w:tcW w:w="3634" w:type="dxa"/>
            <w:shd w:val="clear" w:color="auto" w:fill="D9D9D9" w:themeFill="background1" w:themeFillShade="D9"/>
          </w:tcPr>
          <w:p w14:paraId="5369B0F6" w14:textId="78E11AF0" w:rsidR="00AB3D9D" w:rsidRPr="00696C4E" w:rsidRDefault="003C68AF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Example relating to Healthwatch activity</w:t>
            </w:r>
          </w:p>
        </w:tc>
      </w:tr>
      <w:tr w:rsidR="007E7860" w:rsidRPr="00696C4E" w14:paraId="66B55E75" w14:textId="77777777" w:rsidTr="006F6837">
        <w:tc>
          <w:tcPr>
            <w:tcW w:w="1980" w:type="dxa"/>
          </w:tcPr>
          <w:p w14:paraId="6AD3F223" w14:textId="0CC8FF52" w:rsidR="007E7860" w:rsidRPr="00696C4E" w:rsidRDefault="007E7860" w:rsidP="003C1ABC">
            <w:pPr>
              <w:rPr>
                <w:rFonts w:ascii="Century Gothic" w:hAnsi="Century Gothic"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t>Anticipatory</w:t>
            </w:r>
          </w:p>
        </w:tc>
        <w:tc>
          <w:tcPr>
            <w:tcW w:w="3402" w:type="dxa"/>
          </w:tcPr>
          <w:p w14:paraId="5FFD1DE7" w14:textId="1AB44D43" w:rsidR="007E7860" w:rsidRPr="00696C4E" w:rsidRDefault="00AE0078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 xml:space="preserve">mprovements </w:t>
            </w:r>
            <w:r w:rsidR="00651E71">
              <w:rPr>
                <w:rFonts w:ascii="Century Gothic" w:hAnsi="Century Gothic"/>
                <w:sz w:val="22"/>
                <w:szCs w:val="22"/>
              </w:rPr>
              <w:t xml:space="preserve">are 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 xml:space="preserve">sought in advance of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an 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interaction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634" w:type="dxa"/>
          </w:tcPr>
          <w:p w14:paraId="0C71040F" w14:textId="208B75C5" w:rsidR="007E7860" w:rsidRPr="00696C4E" w:rsidRDefault="001B63AD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Knowing that a Healthwatch Enter and View visit is due</w:t>
            </w:r>
            <w:r w:rsidR="00F769FB">
              <w:rPr>
                <w:rFonts w:ascii="Century Gothic" w:hAnsi="Century Gothic"/>
                <w:sz w:val="22"/>
                <w:szCs w:val="22"/>
              </w:rPr>
              <w:t xml:space="preserve">, a </w:t>
            </w:r>
            <w:r w:rsidR="001D5DB5">
              <w:rPr>
                <w:rFonts w:ascii="Century Gothic" w:hAnsi="Century Gothic"/>
                <w:sz w:val="22"/>
                <w:szCs w:val="22"/>
              </w:rPr>
              <w:t xml:space="preserve">care home </w:t>
            </w:r>
            <w:r w:rsidR="00497395">
              <w:rPr>
                <w:rFonts w:ascii="Century Gothic" w:hAnsi="Century Gothic"/>
                <w:sz w:val="22"/>
                <w:szCs w:val="22"/>
              </w:rPr>
              <w:t>improves it</w:t>
            </w:r>
            <w:r w:rsidR="00E12E9D">
              <w:rPr>
                <w:rFonts w:ascii="Century Gothic" w:hAnsi="Century Gothic"/>
                <w:sz w:val="22"/>
                <w:szCs w:val="22"/>
              </w:rPr>
              <w:t>s food menus to make them more visual.</w:t>
            </w:r>
          </w:p>
        </w:tc>
      </w:tr>
      <w:tr w:rsidR="007E7860" w:rsidRPr="00696C4E" w14:paraId="26545D7D" w14:textId="77777777" w:rsidTr="006F6837">
        <w:tc>
          <w:tcPr>
            <w:tcW w:w="1980" w:type="dxa"/>
          </w:tcPr>
          <w:p w14:paraId="78E455C0" w14:textId="1F604EC3" w:rsidR="007E7860" w:rsidRPr="00696C4E" w:rsidRDefault="007E7860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t>Directive</w:t>
            </w:r>
          </w:p>
        </w:tc>
        <w:tc>
          <w:tcPr>
            <w:tcW w:w="3402" w:type="dxa"/>
          </w:tcPr>
          <w:p w14:paraId="6ABAA095" w14:textId="513C0664" w:rsidR="007E7860" w:rsidRPr="00696C4E" w:rsidRDefault="002A5C66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esponding to recommendations or other feedback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634" w:type="dxa"/>
          </w:tcPr>
          <w:p w14:paraId="14AF5B75" w14:textId="150FD071" w:rsidR="007E7860" w:rsidRPr="00696C4E" w:rsidRDefault="00047C9D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 service provider responds to a Healthwatch report with an action plan.</w:t>
            </w:r>
          </w:p>
        </w:tc>
      </w:tr>
      <w:tr w:rsidR="007E7860" w:rsidRPr="00696C4E" w14:paraId="444482F9" w14:textId="77777777" w:rsidTr="006F6837">
        <w:tc>
          <w:tcPr>
            <w:tcW w:w="1980" w:type="dxa"/>
          </w:tcPr>
          <w:p w14:paraId="26532821" w14:textId="723DCF7A" w:rsidR="007E7860" w:rsidRPr="00696C4E" w:rsidRDefault="007E7860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t>Organisational</w:t>
            </w:r>
          </w:p>
        </w:tc>
        <w:tc>
          <w:tcPr>
            <w:tcW w:w="3402" w:type="dxa"/>
          </w:tcPr>
          <w:p w14:paraId="5F374032" w14:textId="40D62787" w:rsidR="007E7860" w:rsidRPr="00696C4E" w:rsidRDefault="00047C9D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 xml:space="preserve">nteraction leads to </w:t>
            </w:r>
            <w:r w:rsidR="003E5B83">
              <w:rPr>
                <w:rFonts w:ascii="Century Gothic" w:hAnsi="Century Gothic"/>
                <w:sz w:val="22"/>
                <w:szCs w:val="22"/>
              </w:rPr>
              <w:t xml:space="preserve">wider </w:t>
            </w:r>
            <w:r w:rsidR="005A7D08">
              <w:rPr>
                <w:rFonts w:ascii="Century Gothic" w:hAnsi="Century Gothic"/>
                <w:sz w:val="22"/>
                <w:szCs w:val="22"/>
              </w:rPr>
              <w:t xml:space="preserve">self-reflection and analysis by an organisation and results in 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changes in culture, motivation, team dynamics, responding to colleagues and whistleblowing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634" w:type="dxa"/>
          </w:tcPr>
          <w:p w14:paraId="65A69F92" w14:textId="61EBB95C" w:rsidR="007E7860" w:rsidRPr="00696C4E" w:rsidRDefault="005E670B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Following Healthwatch involving members of the public in a co-creation event</w:t>
            </w:r>
            <w:r w:rsidR="00D03857">
              <w:rPr>
                <w:rFonts w:ascii="Century Gothic" w:hAnsi="Century Gothic"/>
                <w:sz w:val="22"/>
                <w:szCs w:val="22"/>
              </w:rPr>
              <w:t xml:space="preserve"> a service provider better appreciates the value this can have for them and sets up their own </w:t>
            </w:r>
            <w:r w:rsidR="008E5A26">
              <w:rPr>
                <w:rFonts w:ascii="Century Gothic" w:hAnsi="Century Gothic"/>
                <w:sz w:val="22"/>
                <w:szCs w:val="22"/>
              </w:rPr>
              <w:t>system for the future.</w:t>
            </w:r>
          </w:p>
        </w:tc>
      </w:tr>
      <w:tr w:rsidR="007E7860" w:rsidRPr="00696C4E" w14:paraId="0A40D65E" w14:textId="77777777" w:rsidTr="006F6837">
        <w:tc>
          <w:tcPr>
            <w:tcW w:w="1980" w:type="dxa"/>
          </w:tcPr>
          <w:p w14:paraId="5B16C093" w14:textId="386B5A2C" w:rsidR="007E7860" w:rsidRPr="00696C4E" w:rsidRDefault="007E7860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Relational</w:t>
            </w:r>
          </w:p>
        </w:tc>
        <w:tc>
          <w:tcPr>
            <w:tcW w:w="3402" w:type="dxa"/>
          </w:tcPr>
          <w:p w14:paraId="12E6BA0C" w14:textId="4561C660" w:rsidR="007E7860" w:rsidRPr="00696C4E" w:rsidRDefault="00887BB8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nformal soft influencing</w:t>
            </w:r>
            <w:r w:rsidR="00346D5D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634" w:type="dxa"/>
          </w:tcPr>
          <w:p w14:paraId="387C0E64" w14:textId="67F603C7" w:rsidR="007E7860" w:rsidRPr="00696C4E" w:rsidRDefault="00CB2EC7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Having experienced how Healthwatch </w:t>
            </w:r>
            <w:r w:rsidR="00B05EBC">
              <w:rPr>
                <w:rFonts w:ascii="Century Gothic" w:hAnsi="Century Gothic"/>
                <w:sz w:val="22"/>
                <w:szCs w:val="22"/>
              </w:rPr>
              <w:t xml:space="preserve">was a solutions-focused </w:t>
            </w:r>
            <w:r w:rsidR="00C47F47">
              <w:rPr>
                <w:rFonts w:ascii="Century Gothic" w:hAnsi="Century Gothic"/>
                <w:sz w:val="22"/>
                <w:szCs w:val="22"/>
              </w:rPr>
              <w:t xml:space="preserve">partner on a joint project, a service commissioner </w:t>
            </w:r>
            <w:r w:rsidR="006F6837">
              <w:rPr>
                <w:rFonts w:ascii="Century Gothic" w:hAnsi="Century Gothic"/>
                <w:sz w:val="22"/>
                <w:szCs w:val="22"/>
              </w:rPr>
              <w:t xml:space="preserve">later </w:t>
            </w:r>
            <w:r w:rsidR="00C47F47">
              <w:rPr>
                <w:rFonts w:ascii="Century Gothic" w:hAnsi="Century Gothic"/>
                <w:sz w:val="22"/>
                <w:szCs w:val="22"/>
              </w:rPr>
              <w:t>seek</w:t>
            </w:r>
            <w:r w:rsidR="00D648AD">
              <w:rPr>
                <w:rFonts w:ascii="Century Gothic" w:hAnsi="Century Gothic"/>
                <w:sz w:val="22"/>
                <w:szCs w:val="22"/>
              </w:rPr>
              <w:t xml:space="preserve">s out Healthwatch </w:t>
            </w:r>
            <w:r w:rsidR="00730F2D">
              <w:rPr>
                <w:rFonts w:ascii="Century Gothic" w:hAnsi="Century Gothic"/>
                <w:sz w:val="22"/>
                <w:szCs w:val="22"/>
              </w:rPr>
              <w:t xml:space="preserve">again </w:t>
            </w:r>
            <w:r w:rsidR="00D648AD">
              <w:rPr>
                <w:rFonts w:ascii="Century Gothic" w:hAnsi="Century Gothic"/>
                <w:sz w:val="22"/>
                <w:szCs w:val="22"/>
              </w:rPr>
              <w:t xml:space="preserve">for </w:t>
            </w:r>
            <w:r w:rsidR="00371677">
              <w:rPr>
                <w:rFonts w:ascii="Century Gothic" w:hAnsi="Century Gothic"/>
                <w:sz w:val="22"/>
                <w:szCs w:val="22"/>
              </w:rPr>
              <w:t>views on the contents of a new specification.</w:t>
            </w:r>
          </w:p>
        </w:tc>
      </w:tr>
      <w:tr w:rsidR="007E7860" w:rsidRPr="00696C4E" w14:paraId="19FDE986" w14:textId="77777777" w:rsidTr="006F6837">
        <w:tc>
          <w:tcPr>
            <w:tcW w:w="1980" w:type="dxa"/>
          </w:tcPr>
          <w:p w14:paraId="625CD666" w14:textId="47A1947A" w:rsidR="007E7860" w:rsidRPr="00696C4E" w:rsidRDefault="007E7860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t>Informational</w:t>
            </w:r>
          </w:p>
        </w:tc>
        <w:tc>
          <w:tcPr>
            <w:tcW w:w="3402" w:type="dxa"/>
          </w:tcPr>
          <w:p w14:paraId="1E99E3BE" w14:textId="7347D09F" w:rsidR="007E7860" w:rsidRPr="00696C4E" w:rsidRDefault="00371677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ublishing of data and findings about individual services or wider analysis</w:t>
            </w:r>
            <w:r w:rsidR="00651E71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634" w:type="dxa"/>
          </w:tcPr>
          <w:p w14:paraId="10C2BDF4" w14:textId="098E34BB" w:rsidR="007E7860" w:rsidRPr="00696C4E" w:rsidRDefault="00FB76CB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Following Healthwatch</w:t>
            </w:r>
            <w:r w:rsidR="00CF5780">
              <w:rPr>
                <w:rFonts w:ascii="Century Gothic" w:hAnsi="Century Gothic"/>
                <w:sz w:val="22"/>
                <w:szCs w:val="22"/>
              </w:rPr>
              <w:t xml:space="preserve"> publishing a summary of findings from reviewing </w:t>
            </w:r>
            <w:proofErr w:type="gramStart"/>
            <w:r w:rsidR="00CF5780">
              <w:rPr>
                <w:rFonts w:ascii="Century Gothic" w:hAnsi="Century Gothic"/>
                <w:sz w:val="22"/>
                <w:szCs w:val="22"/>
              </w:rPr>
              <w:t>a number of</w:t>
            </w:r>
            <w:proofErr w:type="gramEnd"/>
            <w:r w:rsidR="00CF5780">
              <w:rPr>
                <w:rFonts w:ascii="Century Gothic" w:hAnsi="Century Gothic"/>
                <w:sz w:val="22"/>
                <w:szCs w:val="22"/>
              </w:rPr>
              <w:t xml:space="preserve"> GP services’ websites, other GPs </w:t>
            </w:r>
            <w:r w:rsidR="00DB45EF">
              <w:rPr>
                <w:rFonts w:ascii="Century Gothic" w:hAnsi="Century Gothic"/>
                <w:sz w:val="22"/>
                <w:szCs w:val="22"/>
              </w:rPr>
              <w:t>use this to make improvements to their own.</w:t>
            </w:r>
          </w:p>
        </w:tc>
      </w:tr>
      <w:tr w:rsidR="007E7860" w:rsidRPr="00696C4E" w14:paraId="5B9995EC" w14:textId="77777777" w:rsidTr="006F6837">
        <w:tc>
          <w:tcPr>
            <w:tcW w:w="1980" w:type="dxa"/>
          </w:tcPr>
          <w:p w14:paraId="7F409D28" w14:textId="2DC2917D" w:rsidR="007E7860" w:rsidRPr="00696C4E" w:rsidRDefault="007E7860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t>Stakeholder</w:t>
            </w:r>
          </w:p>
        </w:tc>
        <w:tc>
          <w:tcPr>
            <w:tcW w:w="3402" w:type="dxa"/>
          </w:tcPr>
          <w:p w14:paraId="6CDA008A" w14:textId="09352E0B" w:rsidR="007E7860" w:rsidRPr="00696C4E" w:rsidRDefault="00DB45EF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ther stakeholders</w:t>
            </w:r>
            <w:r w:rsidR="00D52C69">
              <w:rPr>
                <w:rFonts w:ascii="Century Gothic" w:hAnsi="Century Gothic"/>
                <w:sz w:val="22"/>
                <w:szCs w:val="22"/>
              </w:rPr>
              <w:t xml:space="preserve"> are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 xml:space="preserve"> influenced or motivated to engage with the service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634" w:type="dxa"/>
          </w:tcPr>
          <w:p w14:paraId="646271DE" w14:textId="77777777" w:rsidR="007E7860" w:rsidRDefault="00095E07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Hearing that Healthwatch has recommended a provider makes premises more dementia friendly, </w:t>
            </w:r>
            <w:r w:rsidR="00810E9F">
              <w:rPr>
                <w:rFonts w:ascii="Century Gothic" w:hAnsi="Century Gothic"/>
                <w:sz w:val="22"/>
                <w:szCs w:val="22"/>
              </w:rPr>
              <w:t>a local dementia charity contact the provider to offer a full audit.</w:t>
            </w:r>
          </w:p>
          <w:p w14:paraId="02539577" w14:textId="135BEB8D" w:rsidR="00810E9F" w:rsidRPr="00696C4E" w:rsidRDefault="00810E9F" w:rsidP="003C1AB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E7860" w:rsidRPr="00696C4E" w14:paraId="23EA634F" w14:textId="77777777" w:rsidTr="006F6837">
        <w:tc>
          <w:tcPr>
            <w:tcW w:w="1980" w:type="dxa"/>
          </w:tcPr>
          <w:p w14:paraId="058978F6" w14:textId="4F67CD6C" w:rsidR="007E7860" w:rsidRPr="00696C4E" w:rsidRDefault="007E7860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t>Lateral</w:t>
            </w:r>
          </w:p>
        </w:tc>
        <w:tc>
          <w:tcPr>
            <w:tcW w:w="3402" w:type="dxa"/>
          </w:tcPr>
          <w:p w14:paraId="05F21D4F" w14:textId="5833FEFD" w:rsidR="007E7860" w:rsidRPr="00696C4E" w:rsidRDefault="00D52C69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 xml:space="preserve">eer to peer activity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is 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generated to develop support and learning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634" w:type="dxa"/>
          </w:tcPr>
          <w:p w14:paraId="21D01C0C" w14:textId="77777777" w:rsidR="00057A12" w:rsidRDefault="00F9648F" w:rsidP="003C1ABC">
            <w:pPr>
              <w:rPr>
                <w:rFonts w:ascii="Century Gothic" w:hAnsi="Century Gothic"/>
                <w:sz w:val="22"/>
                <w:szCs w:val="22"/>
              </w:rPr>
            </w:pPr>
            <w:r w:rsidRPr="00552FC9">
              <w:rPr>
                <w:rFonts w:ascii="Century Gothic" w:hAnsi="Century Gothic"/>
                <w:sz w:val="22"/>
                <w:szCs w:val="22"/>
              </w:rPr>
              <w:t xml:space="preserve">At a Healthwatch led </w:t>
            </w:r>
            <w:r w:rsidR="00552FC9" w:rsidRPr="00552FC9">
              <w:rPr>
                <w:rFonts w:ascii="Century Gothic" w:hAnsi="Century Gothic"/>
                <w:sz w:val="22"/>
                <w:szCs w:val="22"/>
              </w:rPr>
              <w:t xml:space="preserve">community event, </w:t>
            </w:r>
            <w:r w:rsidR="00F341E3">
              <w:rPr>
                <w:rFonts w:ascii="Century Gothic" w:hAnsi="Century Gothic"/>
                <w:sz w:val="22"/>
                <w:szCs w:val="22"/>
              </w:rPr>
              <w:t xml:space="preserve">two </w:t>
            </w:r>
            <w:r w:rsidR="00A9253D">
              <w:rPr>
                <w:rFonts w:ascii="Century Gothic" w:hAnsi="Century Gothic"/>
                <w:sz w:val="22"/>
                <w:szCs w:val="22"/>
              </w:rPr>
              <w:t xml:space="preserve">GP </w:t>
            </w:r>
            <w:r w:rsidR="00057A12">
              <w:rPr>
                <w:rFonts w:ascii="Century Gothic" w:hAnsi="Century Gothic"/>
                <w:sz w:val="22"/>
                <w:szCs w:val="22"/>
              </w:rPr>
              <w:t>practice managers meet and agree to share approaches around developing their Patient Participation Groups.</w:t>
            </w:r>
          </w:p>
          <w:p w14:paraId="345B0C0F" w14:textId="0A816A1A" w:rsidR="007E7860" w:rsidRPr="00696C4E" w:rsidRDefault="00D4652E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7E7860" w:rsidRPr="00696C4E" w14:paraId="0F39074E" w14:textId="77777777" w:rsidTr="006F6837">
        <w:tc>
          <w:tcPr>
            <w:tcW w:w="1980" w:type="dxa"/>
          </w:tcPr>
          <w:p w14:paraId="159604BE" w14:textId="0E4B0AFA" w:rsidR="007E7860" w:rsidRPr="00696C4E" w:rsidRDefault="007E7860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t>Systemic</w:t>
            </w:r>
          </w:p>
        </w:tc>
        <w:tc>
          <w:tcPr>
            <w:tcW w:w="3402" w:type="dxa"/>
          </w:tcPr>
          <w:p w14:paraId="3740AD17" w14:textId="4D3D6447" w:rsidR="007E7860" w:rsidRPr="00696C4E" w:rsidRDefault="007E19C3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 w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ider summary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or 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 xml:space="preserve">aggregated information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and conclusions are 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published that influences on a wider scale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634" w:type="dxa"/>
          </w:tcPr>
          <w:p w14:paraId="473D2173" w14:textId="48942561" w:rsidR="007E7860" w:rsidRPr="00696C4E" w:rsidRDefault="00E61196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Reporting on information from across the Healthwatch network about </w:t>
            </w:r>
            <w:r w:rsidR="00376314">
              <w:rPr>
                <w:rFonts w:ascii="Century Gothic" w:hAnsi="Century Gothic"/>
                <w:sz w:val="22"/>
                <w:szCs w:val="22"/>
              </w:rPr>
              <w:t xml:space="preserve">travel to hospital appointments led to </w:t>
            </w:r>
            <w:r w:rsidR="003F415D">
              <w:rPr>
                <w:rFonts w:ascii="Century Gothic" w:hAnsi="Century Gothic"/>
                <w:sz w:val="22"/>
                <w:szCs w:val="22"/>
              </w:rPr>
              <w:t>an NHS review and new DHSC guidance.</w:t>
            </w:r>
          </w:p>
        </w:tc>
      </w:tr>
    </w:tbl>
    <w:p w14:paraId="620FEE0B" w14:textId="77777777" w:rsidR="00AB3D9D" w:rsidRDefault="00AB3D9D" w:rsidP="003C1ABC">
      <w:pPr>
        <w:rPr>
          <w:rFonts w:ascii="Century Gothic" w:hAnsi="Century Gothic"/>
        </w:rPr>
      </w:pPr>
    </w:p>
    <w:p w14:paraId="4FC58887" w14:textId="77777777" w:rsidR="003F415D" w:rsidRDefault="003F415D" w:rsidP="00C54D85">
      <w:pPr>
        <w:rPr>
          <w:rFonts w:ascii="Century Gothic" w:hAnsi="Century Gothic"/>
          <w:b/>
          <w:bCs/>
          <w:sz w:val="28"/>
          <w:szCs w:val="28"/>
        </w:rPr>
        <w:sectPr w:rsidR="003F415D" w:rsidSect="006D7D9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1B7524" w14:textId="0F594055" w:rsidR="00C54D85" w:rsidRPr="0013794D" w:rsidRDefault="00C54D85" w:rsidP="00C54D85">
      <w:pPr>
        <w:rPr>
          <w:rFonts w:ascii="Century Gothic" w:hAnsi="Century Gothic"/>
          <w:b/>
          <w:bCs/>
          <w:sz w:val="28"/>
          <w:szCs w:val="28"/>
        </w:rPr>
      </w:pPr>
      <w:r w:rsidRPr="0013794D">
        <w:rPr>
          <w:rFonts w:ascii="Century Gothic" w:hAnsi="Century Gothic"/>
          <w:b/>
          <w:bCs/>
          <w:sz w:val="28"/>
          <w:szCs w:val="28"/>
        </w:rPr>
        <w:lastRenderedPageBreak/>
        <w:t xml:space="preserve">Appendix 4: </w:t>
      </w:r>
      <w:r w:rsidR="00997638" w:rsidRPr="0013794D">
        <w:rPr>
          <w:rFonts w:ascii="Century Gothic" w:hAnsi="Century Gothic"/>
          <w:b/>
          <w:bCs/>
          <w:sz w:val="28"/>
          <w:szCs w:val="28"/>
        </w:rPr>
        <w:t>Questions for discussion</w:t>
      </w:r>
    </w:p>
    <w:p w14:paraId="739B05FA" w14:textId="59C195F7" w:rsidR="005F487A" w:rsidRPr="00BE2661" w:rsidRDefault="00F74E1B" w:rsidP="0055643F">
      <w:pPr>
        <w:rPr>
          <w:rFonts w:ascii="Century Gothic" w:hAnsi="Century Gothic"/>
          <w:sz w:val="22"/>
          <w:szCs w:val="22"/>
        </w:rPr>
      </w:pPr>
      <w:r w:rsidRPr="00BE2661">
        <w:rPr>
          <w:rFonts w:ascii="Century Gothic" w:hAnsi="Century Gothic"/>
          <w:sz w:val="22"/>
          <w:szCs w:val="22"/>
        </w:rPr>
        <w:t>We</w:t>
      </w:r>
      <w:r w:rsidR="00E57159" w:rsidRPr="00BE2661">
        <w:rPr>
          <w:rFonts w:ascii="Century Gothic" w:hAnsi="Century Gothic"/>
          <w:sz w:val="22"/>
          <w:szCs w:val="22"/>
        </w:rPr>
        <w:t xml:space="preserve"> can only </w:t>
      </w:r>
      <w:r w:rsidR="0055643F" w:rsidRPr="00BE2661">
        <w:rPr>
          <w:rFonts w:ascii="Century Gothic" w:hAnsi="Century Gothic"/>
          <w:sz w:val="22"/>
          <w:szCs w:val="22"/>
        </w:rPr>
        <w:t xml:space="preserve">develop a clearer, shared understanding </w:t>
      </w:r>
      <w:r w:rsidR="00706BD8">
        <w:rPr>
          <w:rFonts w:ascii="Century Gothic" w:hAnsi="Century Gothic"/>
          <w:sz w:val="22"/>
          <w:szCs w:val="22"/>
        </w:rPr>
        <w:t>of</w:t>
      </w:r>
      <w:r w:rsidR="0055643F" w:rsidRPr="00BE2661">
        <w:rPr>
          <w:rFonts w:ascii="Century Gothic" w:hAnsi="Century Gothic"/>
          <w:sz w:val="22"/>
          <w:szCs w:val="22"/>
        </w:rPr>
        <w:t xml:space="preserve"> the</w:t>
      </w:r>
      <w:r w:rsidR="00E57159" w:rsidRPr="00BE2661">
        <w:rPr>
          <w:rFonts w:ascii="Century Gothic" w:hAnsi="Century Gothic"/>
          <w:sz w:val="22"/>
          <w:szCs w:val="22"/>
        </w:rPr>
        <w:t xml:space="preserve"> domains </w:t>
      </w:r>
      <w:r w:rsidR="0055643F" w:rsidRPr="00BE2661">
        <w:rPr>
          <w:rFonts w:ascii="Century Gothic" w:hAnsi="Century Gothic"/>
          <w:sz w:val="22"/>
          <w:szCs w:val="22"/>
        </w:rPr>
        <w:t xml:space="preserve">where </w:t>
      </w:r>
      <w:r w:rsidR="00E57159" w:rsidRPr="00BE2661">
        <w:rPr>
          <w:rFonts w:ascii="Century Gothic" w:hAnsi="Century Gothic"/>
          <w:sz w:val="22"/>
          <w:szCs w:val="22"/>
        </w:rPr>
        <w:t>our service</w:t>
      </w:r>
      <w:r w:rsidR="0055643F" w:rsidRPr="00BE2661">
        <w:rPr>
          <w:rFonts w:ascii="Century Gothic" w:hAnsi="Century Gothic"/>
          <w:sz w:val="22"/>
          <w:szCs w:val="22"/>
        </w:rPr>
        <w:t xml:space="preserve"> achieve</w:t>
      </w:r>
      <w:r w:rsidR="00E57159" w:rsidRPr="00BE2661">
        <w:rPr>
          <w:rFonts w:ascii="Century Gothic" w:hAnsi="Century Gothic"/>
          <w:sz w:val="22"/>
          <w:szCs w:val="22"/>
        </w:rPr>
        <w:t>s</w:t>
      </w:r>
      <w:r w:rsidR="0055643F" w:rsidRPr="00BE2661">
        <w:rPr>
          <w:rFonts w:ascii="Century Gothic" w:hAnsi="Century Gothic"/>
          <w:sz w:val="22"/>
          <w:szCs w:val="22"/>
        </w:rPr>
        <w:t xml:space="preserve"> outcomes</w:t>
      </w:r>
      <w:r w:rsidR="00E57159" w:rsidRPr="00BE2661">
        <w:rPr>
          <w:rFonts w:ascii="Century Gothic" w:hAnsi="Century Gothic"/>
          <w:sz w:val="22"/>
          <w:szCs w:val="22"/>
        </w:rPr>
        <w:t xml:space="preserve"> </w:t>
      </w:r>
      <w:r w:rsidR="00091450" w:rsidRPr="00BE2661">
        <w:rPr>
          <w:rFonts w:ascii="Century Gothic" w:hAnsi="Century Gothic"/>
          <w:sz w:val="22"/>
          <w:szCs w:val="22"/>
        </w:rPr>
        <w:t xml:space="preserve">by </w:t>
      </w:r>
      <w:r w:rsidR="00432227" w:rsidRPr="00BE2661">
        <w:rPr>
          <w:rFonts w:ascii="Century Gothic" w:hAnsi="Century Gothic"/>
          <w:sz w:val="22"/>
          <w:szCs w:val="22"/>
        </w:rPr>
        <w:t xml:space="preserve">getting as many people’s </w:t>
      </w:r>
      <w:proofErr w:type="gramStart"/>
      <w:r w:rsidR="00432227" w:rsidRPr="00BE2661">
        <w:rPr>
          <w:rFonts w:ascii="Century Gothic" w:hAnsi="Century Gothic"/>
          <w:sz w:val="22"/>
          <w:szCs w:val="22"/>
        </w:rPr>
        <w:t>input</w:t>
      </w:r>
      <w:proofErr w:type="gramEnd"/>
      <w:r w:rsidR="00432227" w:rsidRPr="00BE2661">
        <w:rPr>
          <w:rFonts w:ascii="Century Gothic" w:hAnsi="Century Gothic"/>
          <w:sz w:val="22"/>
          <w:szCs w:val="22"/>
        </w:rPr>
        <w:t xml:space="preserve"> as possible</w:t>
      </w:r>
      <w:r w:rsidR="005F487A" w:rsidRPr="00BE2661">
        <w:rPr>
          <w:rFonts w:ascii="Century Gothic" w:hAnsi="Century Gothic"/>
          <w:sz w:val="22"/>
          <w:szCs w:val="22"/>
        </w:rPr>
        <w:t>.</w:t>
      </w:r>
    </w:p>
    <w:p w14:paraId="2664BE41" w14:textId="2DF4845B" w:rsidR="0055643F" w:rsidRDefault="00AE2D36" w:rsidP="0055643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questions below have been put together </w:t>
      </w:r>
      <w:r w:rsidR="0041374E">
        <w:rPr>
          <w:rFonts w:ascii="Century Gothic" w:hAnsi="Century Gothic"/>
          <w:sz w:val="22"/>
          <w:szCs w:val="22"/>
        </w:rPr>
        <w:t xml:space="preserve">as a prompt for thinking about the domains, </w:t>
      </w:r>
      <w:r w:rsidR="001E3B34">
        <w:rPr>
          <w:rFonts w:ascii="Century Gothic" w:hAnsi="Century Gothic"/>
          <w:sz w:val="22"/>
          <w:szCs w:val="22"/>
        </w:rPr>
        <w:t>levels and people,</w:t>
      </w:r>
      <w:r w:rsidR="0041374E">
        <w:rPr>
          <w:rFonts w:ascii="Century Gothic" w:hAnsi="Century Gothic"/>
          <w:sz w:val="22"/>
          <w:szCs w:val="22"/>
        </w:rPr>
        <w:t xml:space="preserve"> and mechanisms.</w:t>
      </w:r>
      <w:r w:rsidR="00483A64">
        <w:rPr>
          <w:rFonts w:ascii="Century Gothic" w:hAnsi="Century Gothic"/>
          <w:sz w:val="22"/>
          <w:szCs w:val="22"/>
        </w:rPr>
        <w:t xml:space="preserve"> There are a lot of </w:t>
      </w:r>
      <w:r w:rsidR="00E962DD">
        <w:rPr>
          <w:rFonts w:ascii="Century Gothic" w:hAnsi="Century Gothic"/>
          <w:sz w:val="22"/>
          <w:szCs w:val="22"/>
        </w:rPr>
        <w:t>questions,</w:t>
      </w:r>
      <w:r w:rsidR="00483A64">
        <w:rPr>
          <w:rFonts w:ascii="Century Gothic" w:hAnsi="Century Gothic"/>
          <w:sz w:val="22"/>
          <w:szCs w:val="22"/>
        </w:rPr>
        <w:t xml:space="preserve"> and many elements overlap. </w:t>
      </w:r>
      <w:r w:rsidR="009D6774">
        <w:rPr>
          <w:rFonts w:ascii="Century Gothic" w:hAnsi="Century Gothic"/>
          <w:sz w:val="22"/>
          <w:szCs w:val="22"/>
        </w:rPr>
        <w:t xml:space="preserve">Some people might prefer to consider each question in turn; others will prefer to </w:t>
      </w:r>
      <w:r w:rsidR="00B92874">
        <w:rPr>
          <w:rFonts w:ascii="Century Gothic" w:hAnsi="Century Gothic"/>
          <w:sz w:val="22"/>
          <w:szCs w:val="22"/>
        </w:rPr>
        <w:t xml:space="preserve">reflect and </w:t>
      </w:r>
      <w:r w:rsidR="00F445EB">
        <w:rPr>
          <w:rFonts w:ascii="Century Gothic" w:hAnsi="Century Gothic"/>
          <w:sz w:val="22"/>
          <w:szCs w:val="22"/>
        </w:rPr>
        <w:t xml:space="preserve">give </w:t>
      </w:r>
      <w:r w:rsidR="00B92874">
        <w:rPr>
          <w:rFonts w:ascii="Century Gothic" w:hAnsi="Century Gothic"/>
          <w:sz w:val="22"/>
          <w:szCs w:val="22"/>
        </w:rPr>
        <w:t>feedback in a more general way.</w:t>
      </w:r>
      <w:r w:rsidR="002E49AC">
        <w:rPr>
          <w:rFonts w:ascii="Century Gothic" w:hAnsi="Century Gothic"/>
          <w:sz w:val="22"/>
          <w:szCs w:val="22"/>
        </w:rPr>
        <w:t xml:space="preserve"> Maybe certain</w:t>
      </w:r>
      <w:r w:rsidR="008A3FD7">
        <w:rPr>
          <w:rFonts w:ascii="Century Gothic" w:hAnsi="Century Gothic"/>
          <w:sz w:val="22"/>
          <w:szCs w:val="22"/>
        </w:rPr>
        <w:t xml:space="preserve"> question themes will be of more interest to you to focus on than others.</w:t>
      </w:r>
    </w:p>
    <w:p w14:paraId="2FDA1A79" w14:textId="218BF5C5" w:rsidR="00B92874" w:rsidRDefault="006E00AE" w:rsidP="0055643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There will be </w:t>
      </w:r>
      <w:r w:rsidR="007811ED">
        <w:rPr>
          <w:rFonts w:ascii="Century Gothic" w:hAnsi="Century Gothic"/>
          <w:sz w:val="22"/>
          <w:szCs w:val="22"/>
        </w:rPr>
        <w:t xml:space="preserve">opportunities </w:t>
      </w:r>
      <w:r w:rsidR="00FF6477">
        <w:rPr>
          <w:rFonts w:ascii="Century Gothic" w:hAnsi="Century Gothic"/>
          <w:sz w:val="22"/>
          <w:szCs w:val="22"/>
        </w:rPr>
        <w:t xml:space="preserve">for discussion in a series of meetings that will be </w:t>
      </w:r>
      <w:r w:rsidR="008516A4">
        <w:rPr>
          <w:rFonts w:ascii="Century Gothic" w:hAnsi="Century Gothic"/>
          <w:sz w:val="22"/>
          <w:szCs w:val="22"/>
        </w:rPr>
        <w:t>held during January 2025</w:t>
      </w:r>
      <w:r w:rsidR="00C82410">
        <w:rPr>
          <w:rFonts w:ascii="Century Gothic" w:hAnsi="Century Gothic"/>
          <w:sz w:val="22"/>
          <w:szCs w:val="22"/>
        </w:rPr>
        <w:t>. A</w:t>
      </w:r>
      <w:r w:rsidR="002A7838">
        <w:rPr>
          <w:rFonts w:ascii="Century Gothic" w:hAnsi="Century Gothic"/>
          <w:sz w:val="22"/>
          <w:szCs w:val="22"/>
        </w:rPr>
        <w:t xml:space="preserve">dditionally, please do share your thoughts by email to </w:t>
      </w:r>
      <w:hyperlink r:id="rId20" w:history="1">
        <w:r w:rsidR="008F189B" w:rsidRPr="00FA21AD">
          <w:rPr>
            <w:rStyle w:val="Hyperlink"/>
            <w:rFonts w:ascii="Century Gothic" w:hAnsi="Century Gothic"/>
            <w:sz w:val="22"/>
            <w:szCs w:val="22"/>
          </w:rPr>
          <w:t>impact@healthwatch.co.uk</w:t>
        </w:r>
      </w:hyperlink>
    </w:p>
    <w:p w14:paraId="19051B7A" w14:textId="77777777" w:rsidR="008F189B" w:rsidRPr="009172E1" w:rsidRDefault="008F189B" w:rsidP="0055643F">
      <w:pPr>
        <w:rPr>
          <w:rFonts w:ascii="Century Gothic" w:hAnsi="Century Gothic"/>
          <w:sz w:val="22"/>
          <w:szCs w:val="22"/>
        </w:rPr>
      </w:pPr>
    </w:p>
    <w:p w14:paraId="550DF8A0" w14:textId="6A765B0F" w:rsidR="00D655B7" w:rsidRPr="008F189B" w:rsidRDefault="00D655B7" w:rsidP="00196457">
      <w:pPr>
        <w:rPr>
          <w:rFonts w:ascii="Century Gothic" w:hAnsi="Century Gothic"/>
          <w:i/>
          <w:iCs/>
          <w:sz w:val="22"/>
          <w:szCs w:val="22"/>
        </w:rPr>
      </w:pPr>
      <w:r w:rsidRPr="00CA25C5">
        <w:rPr>
          <w:rFonts w:ascii="Century Gothic" w:hAnsi="Century Gothic"/>
          <w:b/>
          <w:bCs/>
        </w:rPr>
        <w:t>Domains, including the</w:t>
      </w:r>
      <w:r w:rsidR="001E2387">
        <w:rPr>
          <w:rFonts w:ascii="Century Gothic" w:hAnsi="Century Gothic"/>
          <w:b/>
          <w:bCs/>
        </w:rPr>
        <w:t xml:space="preserve"> levels and people</w:t>
      </w:r>
    </w:p>
    <w:p w14:paraId="7F6A6021" w14:textId="3C0F5140" w:rsidR="00E55B75" w:rsidRDefault="0013794D" w:rsidP="0013794D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 w:rsidRPr="0013794D">
        <w:rPr>
          <w:rFonts w:ascii="Century Gothic" w:hAnsi="Century Gothic"/>
          <w:sz w:val="22"/>
          <w:szCs w:val="22"/>
        </w:rPr>
        <w:t xml:space="preserve">Are the domains that we’ve identified </w:t>
      </w:r>
      <w:r w:rsidR="00F67645">
        <w:rPr>
          <w:rFonts w:ascii="Century Gothic" w:hAnsi="Century Gothic"/>
          <w:sz w:val="22"/>
          <w:szCs w:val="22"/>
        </w:rPr>
        <w:t>correct</w:t>
      </w:r>
      <w:r w:rsidR="00E76783">
        <w:rPr>
          <w:rFonts w:ascii="Century Gothic" w:hAnsi="Century Gothic"/>
          <w:sz w:val="22"/>
          <w:szCs w:val="22"/>
        </w:rPr>
        <w:t>, complete and clearly described?</w:t>
      </w:r>
    </w:p>
    <w:p w14:paraId="2AE28046" w14:textId="0CE4D3CC" w:rsidR="00E76783" w:rsidRDefault="00E76783" w:rsidP="0013794D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Can you suggest examples and descriptions at the points where there are </w:t>
      </w:r>
      <w:proofErr w:type="gramStart"/>
      <w:r w:rsidR="008F189B">
        <w:rPr>
          <w:rFonts w:ascii="Century Gothic" w:hAnsi="Century Gothic"/>
          <w:sz w:val="22"/>
          <w:szCs w:val="22"/>
        </w:rPr>
        <w:t>gaps</w:t>
      </w:r>
      <w:proofErr w:type="gramEnd"/>
      <w:r w:rsidR="00FF3E6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or</w:t>
      </w:r>
      <w:r w:rsidR="00327C78">
        <w:rPr>
          <w:rFonts w:ascii="Century Gothic" w:hAnsi="Century Gothic"/>
          <w:sz w:val="22"/>
          <w:szCs w:val="22"/>
        </w:rPr>
        <w:t xml:space="preserve"> the current content is too limited?</w:t>
      </w:r>
    </w:p>
    <w:p w14:paraId="5280134E" w14:textId="419E028A" w:rsidR="00327C78" w:rsidRDefault="00327C78" w:rsidP="0013794D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 which d</w:t>
      </w:r>
      <w:r w:rsidR="00F07F36">
        <w:rPr>
          <w:rFonts w:ascii="Century Gothic" w:hAnsi="Century Gothic"/>
          <w:sz w:val="22"/>
          <w:szCs w:val="22"/>
        </w:rPr>
        <w:t>omains do Healthwatch tend to achieve more outcomes and</w:t>
      </w:r>
      <w:r w:rsidR="004A1BFA">
        <w:rPr>
          <w:rFonts w:ascii="Century Gothic" w:hAnsi="Century Gothic"/>
          <w:sz w:val="22"/>
          <w:szCs w:val="22"/>
        </w:rPr>
        <w:t xml:space="preserve"> in which less?</w:t>
      </w:r>
      <w:r w:rsidR="00B0301C">
        <w:rPr>
          <w:rFonts w:ascii="Century Gothic" w:hAnsi="Century Gothic"/>
          <w:sz w:val="22"/>
          <w:szCs w:val="22"/>
        </w:rPr>
        <w:t xml:space="preserve"> Does this vary between Healthwatch</w:t>
      </w:r>
      <w:r w:rsidR="00FF3E66">
        <w:rPr>
          <w:rFonts w:ascii="Century Gothic" w:hAnsi="Century Gothic"/>
          <w:sz w:val="22"/>
          <w:szCs w:val="22"/>
        </w:rPr>
        <w:t>,</w:t>
      </w:r>
      <w:r w:rsidR="00B0301C">
        <w:rPr>
          <w:rFonts w:ascii="Century Gothic" w:hAnsi="Century Gothic"/>
          <w:sz w:val="22"/>
          <w:szCs w:val="22"/>
        </w:rPr>
        <w:t xml:space="preserve"> and</w:t>
      </w:r>
      <w:r w:rsidR="00BD0769">
        <w:rPr>
          <w:rFonts w:ascii="Century Gothic" w:hAnsi="Century Gothic"/>
          <w:sz w:val="22"/>
          <w:szCs w:val="22"/>
        </w:rPr>
        <w:t xml:space="preserve"> what are the factors that influence that?</w:t>
      </w:r>
    </w:p>
    <w:p w14:paraId="3E84315D" w14:textId="5EB25493" w:rsidR="00B0301C" w:rsidRDefault="00B0301C" w:rsidP="0013794D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Does it matter that</w:t>
      </w:r>
      <w:r w:rsidR="00BD0769">
        <w:rPr>
          <w:rFonts w:ascii="Century Gothic" w:hAnsi="Century Gothic"/>
          <w:sz w:val="22"/>
          <w:szCs w:val="22"/>
        </w:rPr>
        <w:t xml:space="preserve"> an individual</w:t>
      </w:r>
      <w:r>
        <w:rPr>
          <w:rFonts w:ascii="Century Gothic" w:hAnsi="Century Gothic"/>
          <w:sz w:val="22"/>
          <w:szCs w:val="22"/>
        </w:rPr>
        <w:t xml:space="preserve"> Healthwatch </w:t>
      </w:r>
      <w:r w:rsidR="00BD0769">
        <w:rPr>
          <w:rFonts w:ascii="Century Gothic" w:hAnsi="Century Gothic"/>
          <w:sz w:val="22"/>
          <w:szCs w:val="22"/>
        </w:rPr>
        <w:t xml:space="preserve">or the network </w:t>
      </w:r>
      <w:r w:rsidR="00B20029">
        <w:rPr>
          <w:rFonts w:ascii="Century Gothic" w:hAnsi="Century Gothic"/>
          <w:sz w:val="22"/>
          <w:szCs w:val="22"/>
        </w:rPr>
        <w:t>overall</w:t>
      </w:r>
      <w:r w:rsidR="00FD207B">
        <w:rPr>
          <w:rFonts w:ascii="Century Gothic" w:hAnsi="Century Gothic"/>
          <w:sz w:val="22"/>
          <w:szCs w:val="22"/>
        </w:rPr>
        <w:t xml:space="preserve"> achieve</w:t>
      </w:r>
      <w:r w:rsidR="00DF0CD1">
        <w:rPr>
          <w:rFonts w:ascii="Century Gothic" w:hAnsi="Century Gothic"/>
          <w:sz w:val="22"/>
          <w:szCs w:val="22"/>
        </w:rPr>
        <w:t>s</w:t>
      </w:r>
      <w:r w:rsidR="00FD207B">
        <w:rPr>
          <w:rFonts w:ascii="Century Gothic" w:hAnsi="Century Gothic"/>
          <w:sz w:val="22"/>
          <w:szCs w:val="22"/>
        </w:rPr>
        <w:t xml:space="preserve"> </w:t>
      </w:r>
      <w:r w:rsidR="00B20029">
        <w:rPr>
          <w:rFonts w:ascii="Century Gothic" w:hAnsi="Century Gothic"/>
          <w:sz w:val="22"/>
          <w:szCs w:val="22"/>
        </w:rPr>
        <w:t xml:space="preserve">more </w:t>
      </w:r>
      <w:r w:rsidR="00FD207B">
        <w:rPr>
          <w:rFonts w:ascii="Century Gothic" w:hAnsi="Century Gothic"/>
          <w:sz w:val="22"/>
          <w:szCs w:val="22"/>
        </w:rPr>
        <w:t xml:space="preserve">outcomes </w:t>
      </w:r>
      <w:r w:rsidR="00160A58">
        <w:rPr>
          <w:rFonts w:ascii="Century Gothic" w:hAnsi="Century Gothic"/>
          <w:sz w:val="22"/>
          <w:szCs w:val="22"/>
        </w:rPr>
        <w:t>in some domains than others?</w:t>
      </w:r>
    </w:p>
    <w:p w14:paraId="48456206" w14:textId="210FD738" w:rsidR="001F5ED9" w:rsidRDefault="00E06C37" w:rsidP="0013794D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Comparing time spent and time needed to achieve outcomes in some domains</w:t>
      </w:r>
      <w:r w:rsidR="001E6ECB">
        <w:rPr>
          <w:rFonts w:ascii="Century Gothic" w:hAnsi="Century Gothic"/>
          <w:sz w:val="22"/>
          <w:szCs w:val="22"/>
        </w:rPr>
        <w:t xml:space="preserve"> rather than others, </w:t>
      </w:r>
      <w:r w:rsidR="0075563F">
        <w:rPr>
          <w:rFonts w:ascii="Century Gothic" w:hAnsi="Century Gothic"/>
          <w:sz w:val="22"/>
          <w:szCs w:val="22"/>
        </w:rPr>
        <w:t>can we learn anything about the most effective use of Healthwatch resources?</w:t>
      </w:r>
    </w:p>
    <w:p w14:paraId="4E1A436A" w14:textId="4A6315DB" w:rsidR="00160A58" w:rsidRDefault="00157D8D" w:rsidP="0013794D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Do you feel that</w:t>
      </w:r>
      <w:r w:rsidR="00F50742">
        <w:rPr>
          <w:rFonts w:ascii="Century Gothic" w:hAnsi="Century Gothic"/>
          <w:sz w:val="22"/>
          <w:szCs w:val="22"/>
        </w:rPr>
        <w:t xml:space="preserve"> Healthwatch probably do achieve more outcomes in some domains but</w:t>
      </w:r>
      <w:r w:rsidR="00B45392">
        <w:rPr>
          <w:rFonts w:ascii="Century Gothic" w:hAnsi="Century Gothic"/>
          <w:sz w:val="22"/>
          <w:szCs w:val="22"/>
        </w:rPr>
        <w:t xml:space="preserve"> are less able to identify when this happens?</w:t>
      </w:r>
    </w:p>
    <w:p w14:paraId="1D7C62EF" w14:textId="3A44C254" w:rsidR="00B45392" w:rsidRDefault="00507564" w:rsidP="0013794D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Do you feel that when Healthwatch achieve outcomes in some domains then </w:t>
      </w:r>
      <w:r w:rsidR="00891BF7">
        <w:rPr>
          <w:rFonts w:ascii="Century Gothic" w:hAnsi="Century Gothic"/>
          <w:sz w:val="22"/>
          <w:szCs w:val="22"/>
        </w:rPr>
        <w:t xml:space="preserve">the way that’s communicated is </w:t>
      </w:r>
      <w:r w:rsidR="00F927F6">
        <w:rPr>
          <w:rFonts w:ascii="Century Gothic" w:hAnsi="Century Gothic"/>
          <w:sz w:val="22"/>
          <w:szCs w:val="22"/>
        </w:rPr>
        <w:t>easier and achieved more successfully than in others</w:t>
      </w:r>
      <w:r w:rsidR="00B353F6">
        <w:rPr>
          <w:rFonts w:ascii="Century Gothic" w:hAnsi="Century Gothic"/>
          <w:sz w:val="22"/>
          <w:szCs w:val="22"/>
        </w:rPr>
        <w:t>?</w:t>
      </w:r>
    </w:p>
    <w:p w14:paraId="150BB0B3" w14:textId="29563BC1" w:rsidR="004377A0" w:rsidRDefault="00B353F6" w:rsidP="0013794D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Do we have the strongest ‘elevator pitch’ story </w:t>
      </w:r>
      <w:r w:rsidR="002C484D">
        <w:rPr>
          <w:rFonts w:ascii="Century Gothic" w:hAnsi="Century Gothic"/>
          <w:sz w:val="22"/>
          <w:szCs w:val="22"/>
        </w:rPr>
        <w:t xml:space="preserve">ready to </w:t>
      </w:r>
      <w:proofErr w:type="gramStart"/>
      <w:r w:rsidR="002C484D">
        <w:rPr>
          <w:rFonts w:ascii="Century Gothic" w:hAnsi="Century Gothic"/>
          <w:sz w:val="22"/>
          <w:szCs w:val="22"/>
        </w:rPr>
        <w:t>tell</w:t>
      </w:r>
      <w:proofErr w:type="gramEnd"/>
      <w:r w:rsidR="002C484D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about </w:t>
      </w:r>
      <w:r w:rsidR="002C484D">
        <w:rPr>
          <w:rFonts w:ascii="Century Gothic" w:hAnsi="Century Gothic"/>
          <w:sz w:val="22"/>
          <w:szCs w:val="22"/>
        </w:rPr>
        <w:t>what Healthwatch achieve in each domain?</w:t>
      </w:r>
      <w:r w:rsidR="00575C28">
        <w:rPr>
          <w:rFonts w:ascii="Century Gothic" w:hAnsi="Century Gothic"/>
          <w:sz w:val="22"/>
          <w:szCs w:val="22"/>
        </w:rPr>
        <w:t xml:space="preserve"> </w:t>
      </w:r>
      <w:r w:rsidR="00960357">
        <w:rPr>
          <w:rFonts w:ascii="Century Gothic" w:hAnsi="Century Gothic"/>
          <w:sz w:val="22"/>
          <w:szCs w:val="22"/>
        </w:rPr>
        <w:t xml:space="preserve">Locally, nationally, and </w:t>
      </w:r>
      <w:r w:rsidR="006F08DC">
        <w:rPr>
          <w:rFonts w:ascii="Century Gothic" w:hAnsi="Century Gothic"/>
          <w:sz w:val="22"/>
          <w:szCs w:val="22"/>
        </w:rPr>
        <w:t>the interaction between the two?</w:t>
      </w:r>
    </w:p>
    <w:p w14:paraId="7B0BF847" w14:textId="6D2F48CA" w:rsidR="00B353F6" w:rsidRDefault="004377A0" w:rsidP="0013794D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Does our overall narrative about the importance of listening and </w:t>
      </w:r>
      <w:r w:rsidR="00F336C1">
        <w:rPr>
          <w:rFonts w:ascii="Century Gothic" w:hAnsi="Century Gothic"/>
          <w:sz w:val="22"/>
          <w:szCs w:val="22"/>
        </w:rPr>
        <w:t xml:space="preserve">the breadth of </w:t>
      </w:r>
      <w:r w:rsidR="009E2970">
        <w:rPr>
          <w:rFonts w:ascii="Century Gothic" w:hAnsi="Century Gothic"/>
          <w:sz w:val="22"/>
          <w:szCs w:val="22"/>
        </w:rPr>
        <w:t>Healthwatch</w:t>
      </w:r>
      <w:r w:rsidR="00B05B31">
        <w:rPr>
          <w:rFonts w:ascii="Century Gothic" w:hAnsi="Century Gothic"/>
          <w:sz w:val="22"/>
          <w:szCs w:val="22"/>
        </w:rPr>
        <w:t xml:space="preserve"> value to funders and system stakeholders</w:t>
      </w:r>
      <w:r w:rsidR="009E2970">
        <w:rPr>
          <w:rFonts w:ascii="Century Gothic" w:hAnsi="Century Gothic"/>
          <w:sz w:val="22"/>
          <w:szCs w:val="22"/>
        </w:rPr>
        <w:t xml:space="preserve"> take </w:t>
      </w:r>
      <w:r w:rsidR="00B05B31">
        <w:rPr>
          <w:rFonts w:ascii="Century Gothic" w:hAnsi="Century Gothic"/>
          <w:sz w:val="22"/>
          <w:szCs w:val="22"/>
        </w:rPr>
        <w:t xml:space="preserve">sufficient </w:t>
      </w:r>
      <w:r w:rsidR="009E2970">
        <w:rPr>
          <w:rFonts w:ascii="Century Gothic" w:hAnsi="Century Gothic"/>
          <w:sz w:val="22"/>
          <w:szCs w:val="22"/>
        </w:rPr>
        <w:t>account of all the domain areas?</w:t>
      </w:r>
      <w:r w:rsidR="006F08DC">
        <w:rPr>
          <w:rFonts w:ascii="Century Gothic" w:hAnsi="Century Gothic"/>
          <w:sz w:val="22"/>
          <w:szCs w:val="22"/>
        </w:rPr>
        <w:t xml:space="preserve"> Locally</w:t>
      </w:r>
      <w:r w:rsidR="00BC7F87">
        <w:rPr>
          <w:rFonts w:ascii="Century Gothic" w:hAnsi="Century Gothic"/>
          <w:sz w:val="22"/>
          <w:szCs w:val="22"/>
        </w:rPr>
        <w:t xml:space="preserve"> and</w:t>
      </w:r>
      <w:r w:rsidR="006F08DC">
        <w:rPr>
          <w:rFonts w:ascii="Century Gothic" w:hAnsi="Century Gothic"/>
          <w:sz w:val="22"/>
          <w:szCs w:val="22"/>
        </w:rPr>
        <w:t xml:space="preserve"> nationally, and </w:t>
      </w:r>
      <w:r w:rsidR="009F0BD3">
        <w:rPr>
          <w:rFonts w:ascii="Century Gothic" w:hAnsi="Century Gothic"/>
          <w:sz w:val="22"/>
          <w:szCs w:val="22"/>
        </w:rPr>
        <w:t xml:space="preserve">considering </w:t>
      </w:r>
      <w:r w:rsidR="006F08DC">
        <w:rPr>
          <w:rFonts w:ascii="Century Gothic" w:hAnsi="Century Gothic"/>
          <w:sz w:val="22"/>
          <w:szCs w:val="22"/>
        </w:rPr>
        <w:t>the interaction between the two?</w:t>
      </w:r>
    </w:p>
    <w:p w14:paraId="67DAE303" w14:textId="2A4127A5" w:rsidR="00FE52F3" w:rsidRDefault="00251E65" w:rsidP="0013794D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Healthcare commissioner</w:t>
      </w:r>
      <w:r w:rsidR="001872C5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 xml:space="preserve"> and providers will often be interested in outcomes that</w:t>
      </w:r>
      <w:r w:rsidR="001872C5">
        <w:rPr>
          <w:rFonts w:ascii="Century Gothic" w:hAnsi="Century Gothic"/>
          <w:sz w:val="22"/>
          <w:szCs w:val="22"/>
        </w:rPr>
        <w:t xml:space="preserve"> </w:t>
      </w:r>
      <w:r w:rsidR="004F2D7A">
        <w:rPr>
          <w:rFonts w:ascii="Century Gothic" w:hAnsi="Century Gothic"/>
          <w:sz w:val="22"/>
          <w:szCs w:val="22"/>
        </w:rPr>
        <w:t xml:space="preserve">increase efficiency in </w:t>
      </w:r>
      <w:r w:rsidR="00AC4B53">
        <w:rPr>
          <w:rFonts w:ascii="Century Gothic" w:hAnsi="Century Gothic"/>
          <w:sz w:val="22"/>
          <w:szCs w:val="22"/>
        </w:rPr>
        <w:t xml:space="preserve">the </w:t>
      </w:r>
      <w:r w:rsidR="004F2D7A">
        <w:rPr>
          <w:rFonts w:ascii="Century Gothic" w:hAnsi="Century Gothic"/>
          <w:sz w:val="22"/>
          <w:szCs w:val="22"/>
        </w:rPr>
        <w:t xml:space="preserve">use of </w:t>
      </w:r>
      <w:r w:rsidR="008755AE">
        <w:rPr>
          <w:rFonts w:ascii="Century Gothic" w:hAnsi="Century Gothic"/>
          <w:sz w:val="22"/>
          <w:szCs w:val="22"/>
        </w:rPr>
        <w:t xml:space="preserve">resources and staff wellbeing and satisfaction. </w:t>
      </w:r>
      <w:r w:rsidR="001E784D">
        <w:rPr>
          <w:rFonts w:ascii="Century Gothic" w:hAnsi="Century Gothic"/>
          <w:sz w:val="22"/>
          <w:szCs w:val="22"/>
        </w:rPr>
        <w:t>Do outcomes in some domain areas lend themselves to communicating that?</w:t>
      </w:r>
    </w:p>
    <w:p w14:paraId="1C7941DB" w14:textId="12285BDC" w:rsidR="00A76B3A" w:rsidRDefault="00A76B3A" w:rsidP="00A76B3A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Discussions with the public have suggested that many people are more likely to be motivated to share their experience</w:t>
      </w:r>
      <w:r w:rsidR="004133AD">
        <w:rPr>
          <w:rFonts w:ascii="Century Gothic" w:hAnsi="Century Gothic"/>
          <w:sz w:val="22"/>
          <w:szCs w:val="22"/>
        </w:rPr>
        <w:t xml:space="preserve"> with Healthwatch</w:t>
      </w:r>
      <w:r>
        <w:rPr>
          <w:rFonts w:ascii="Century Gothic" w:hAnsi="Century Gothic"/>
          <w:sz w:val="22"/>
          <w:szCs w:val="22"/>
        </w:rPr>
        <w:t xml:space="preserve"> if they hear about tangible changes achieved </w:t>
      </w:r>
      <w:r w:rsidR="004D0608">
        <w:rPr>
          <w:rFonts w:ascii="Century Gothic" w:hAnsi="Century Gothic"/>
          <w:sz w:val="22"/>
          <w:szCs w:val="22"/>
        </w:rPr>
        <w:t xml:space="preserve">with </w:t>
      </w:r>
      <w:r w:rsidR="008E40A1">
        <w:rPr>
          <w:rFonts w:ascii="Century Gothic" w:hAnsi="Century Gothic"/>
          <w:sz w:val="22"/>
          <w:szCs w:val="22"/>
        </w:rPr>
        <w:t xml:space="preserve">specific </w:t>
      </w:r>
      <w:r w:rsidR="004D0608">
        <w:rPr>
          <w:rFonts w:ascii="Century Gothic" w:hAnsi="Century Gothic"/>
          <w:sz w:val="22"/>
          <w:szCs w:val="22"/>
        </w:rPr>
        <w:t>services</w:t>
      </w:r>
      <w:r w:rsidR="004133AD">
        <w:rPr>
          <w:rFonts w:ascii="Century Gothic" w:hAnsi="Century Gothic"/>
          <w:sz w:val="22"/>
          <w:szCs w:val="22"/>
        </w:rPr>
        <w:t xml:space="preserve"> </w:t>
      </w:r>
      <w:r w:rsidR="00BE773E">
        <w:rPr>
          <w:rFonts w:ascii="Century Gothic" w:hAnsi="Century Gothic"/>
          <w:sz w:val="22"/>
          <w:szCs w:val="22"/>
        </w:rPr>
        <w:t>locally</w:t>
      </w:r>
      <w:r w:rsidR="004133AD">
        <w:rPr>
          <w:rFonts w:ascii="Century Gothic" w:hAnsi="Century Gothic"/>
          <w:sz w:val="22"/>
          <w:szCs w:val="22"/>
        </w:rPr>
        <w:t xml:space="preserve"> rather than hearing about </w:t>
      </w:r>
      <w:r w:rsidR="00EB5D1E">
        <w:rPr>
          <w:rFonts w:ascii="Century Gothic" w:hAnsi="Century Gothic"/>
          <w:sz w:val="22"/>
          <w:szCs w:val="22"/>
        </w:rPr>
        <w:t>influence on larger and</w:t>
      </w:r>
      <w:r w:rsidR="006F7A40">
        <w:rPr>
          <w:rFonts w:ascii="Century Gothic" w:hAnsi="Century Gothic"/>
          <w:sz w:val="22"/>
          <w:szCs w:val="22"/>
        </w:rPr>
        <w:t>,</w:t>
      </w:r>
      <w:r w:rsidR="00EB5D1E">
        <w:rPr>
          <w:rFonts w:ascii="Century Gothic" w:hAnsi="Century Gothic"/>
          <w:sz w:val="22"/>
          <w:szCs w:val="22"/>
        </w:rPr>
        <w:t xml:space="preserve"> at times</w:t>
      </w:r>
      <w:r w:rsidR="006F7A40">
        <w:rPr>
          <w:rFonts w:ascii="Century Gothic" w:hAnsi="Century Gothic"/>
          <w:sz w:val="22"/>
          <w:szCs w:val="22"/>
        </w:rPr>
        <w:t>,</w:t>
      </w:r>
      <w:r w:rsidR="00EB5D1E">
        <w:rPr>
          <w:rFonts w:ascii="Century Gothic" w:hAnsi="Century Gothic"/>
          <w:sz w:val="22"/>
          <w:szCs w:val="22"/>
        </w:rPr>
        <w:t xml:space="preserve"> difficult</w:t>
      </w:r>
      <w:r w:rsidR="00556813">
        <w:rPr>
          <w:rFonts w:ascii="Century Gothic" w:hAnsi="Century Gothic"/>
          <w:sz w:val="22"/>
          <w:szCs w:val="22"/>
        </w:rPr>
        <w:t>-</w:t>
      </w:r>
      <w:r w:rsidR="00EB5D1E">
        <w:rPr>
          <w:rFonts w:ascii="Century Gothic" w:hAnsi="Century Gothic"/>
          <w:sz w:val="22"/>
          <w:szCs w:val="22"/>
        </w:rPr>
        <w:t>to</w:t>
      </w:r>
      <w:r w:rsidR="00556813">
        <w:rPr>
          <w:rFonts w:ascii="Century Gothic" w:hAnsi="Century Gothic"/>
          <w:sz w:val="22"/>
          <w:szCs w:val="22"/>
        </w:rPr>
        <w:t>-</w:t>
      </w:r>
      <w:r w:rsidR="00EB5D1E">
        <w:rPr>
          <w:rFonts w:ascii="Century Gothic" w:hAnsi="Century Gothic"/>
          <w:sz w:val="22"/>
          <w:szCs w:val="22"/>
        </w:rPr>
        <w:t>resolve systemic issues.</w:t>
      </w:r>
      <w:r w:rsidR="008E40A1">
        <w:rPr>
          <w:rFonts w:ascii="Century Gothic" w:hAnsi="Century Gothic"/>
          <w:sz w:val="22"/>
          <w:szCs w:val="22"/>
        </w:rPr>
        <w:t xml:space="preserve"> </w:t>
      </w:r>
      <w:r w:rsidR="00880F5D">
        <w:rPr>
          <w:rFonts w:ascii="Century Gothic" w:hAnsi="Century Gothic"/>
          <w:sz w:val="22"/>
          <w:szCs w:val="22"/>
        </w:rPr>
        <w:t xml:space="preserve">On this basis, </w:t>
      </w:r>
      <w:r w:rsidR="00CA39F1">
        <w:rPr>
          <w:rFonts w:ascii="Century Gothic" w:hAnsi="Century Gothic"/>
          <w:sz w:val="22"/>
          <w:szCs w:val="22"/>
        </w:rPr>
        <w:t>which</w:t>
      </w:r>
      <w:r w:rsidR="00880F5D">
        <w:rPr>
          <w:rFonts w:ascii="Century Gothic" w:hAnsi="Century Gothic"/>
          <w:sz w:val="22"/>
          <w:szCs w:val="22"/>
        </w:rPr>
        <w:t xml:space="preserve"> domains would </w:t>
      </w:r>
      <w:r w:rsidR="00CA39F1">
        <w:rPr>
          <w:rFonts w:ascii="Century Gothic" w:hAnsi="Century Gothic"/>
          <w:sz w:val="22"/>
          <w:szCs w:val="22"/>
        </w:rPr>
        <w:t xml:space="preserve">involve outcomes that would </w:t>
      </w:r>
      <w:r w:rsidR="00880F5D">
        <w:rPr>
          <w:rFonts w:ascii="Century Gothic" w:hAnsi="Century Gothic"/>
          <w:sz w:val="22"/>
          <w:szCs w:val="22"/>
        </w:rPr>
        <w:t>be most likely to grab people’s attention?</w:t>
      </w:r>
    </w:p>
    <w:p w14:paraId="482C6627" w14:textId="33E82D3F" w:rsidR="00071FFA" w:rsidRDefault="00071FFA" w:rsidP="00A76B3A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Are different approaches to influencing decision</w:t>
      </w:r>
      <w:r w:rsidR="00556813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>makers more suitable or useful to achieve outcomes in particular domains?</w:t>
      </w:r>
    </w:p>
    <w:p w14:paraId="1C510D60" w14:textId="406397C3" w:rsidR="007A386B" w:rsidRPr="007A386B" w:rsidRDefault="007A386B" w:rsidP="007A386B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Is there any more support that could be provided to help Healthwatch achieve outcomes in some of the less common domains?</w:t>
      </w:r>
    </w:p>
    <w:p w14:paraId="1D25583C" w14:textId="56F25370" w:rsidR="00683916" w:rsidRDefault="006E5567" w:rsidP="00041F04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 w:rsidRPr="00041F04">
        <w:rPr>
          <w:rFonts w:ascii="Century Gothic" w:hAnsi="Century Gothic"/>
          <w:sz w:val="22"/>
          <w:szCs w:val="22"/>
        </w:rPr>
        <w:t xml:space="preserve">Is there any value in </w:t>
      </w:r>
      <w:r w:rsidR="00BF2091" w:rsidRPr="00041F04">
        <w:rPr>
          <w:rFonts w:ascii="Century Gothic" w:hAnsi="Century Gothic"/>
          <w:sz w:val="22"/>
          <w:szCs w:val="22"/>
        </w:rPr>
        <w:t xml:space="preserve">creating some form of </w:t>
      </w:r>
      <w:r w:rsidR="00683916" w:rsidRPr="00041F04">
        <w:rPr>
          <w:rFonts w:ascii="Century Gothic" w:hAnsi="Century Gothic"/>
          <w:sz w:val="22"/>
          <w:szCs w:val="22"/>
        </w:rPr>
        <w:t xml:space="preserve">self-assessment </w:t>
      </w:r>
      <w:r w:rsidR="00F53218" w:rsidRPr="00041F04">
        <w:rPr>
          <w:rFonts w:ascii="Century Gothic" w:hAnsi="Century Gothic"/>
          <w:sz w:val="22"/>
          <w:szCs w:val="22"/>
        </w:rPr>
        <w:t xml:space="preserve">summary </w:t>
      </w:r>
      <w:r w:rsidR="00683916" w:rsidRPr="00041F04">
        <w:rPr>
          <w:rFonts w:ascii="Century Gothic" w:hAnsi="Century Gothic"/>
          <w:sz w:val="22"/>
          <w:szCs w:val="22"/>
        </w:rPr>
        <w:t>sheet</w:t>
      </w:r>
      <w:r w:rsidR="00BF2091" w:rsidRPr="00041F04">
        <w:rPr>
          <w:rFonts w:ascii="Century Gothic" w:hAnsi="Century Gothic"/>
          <w:sz w:val="22"/>
          <w:szCs w:val="22"/>
        </w:rPr>
        <w:t xml:space="preserve"> to</w:t>
      </w:r>
      <w:r w:rsidR="00041F04">
        <w:rPr>
          <w:rFonts w:ascii="Century Gothic" w:hAnsi="Century Gothic"/>
          <w:sz w:val="22"/>
          <w:szCs w:val="22"/>
        </w:rPr>
        <w:t xml:space="preserve"> help a Healthwatch</w:t>
      </w:r>
      <w:r w:rsidR="00BF2091" w:rsidRPr="00041F04">
        <w:rPr>
          <w:rFonts w:ascii="Century Gothic" w:hAnsi="Century Gothic"/>
          <w:sz w:val="22"/>
          <w:szCs w:val="22"/>
        </w:rPr>
        <w:t xml:space="preserve"> consider </w:t>
      </w:r>
      <w:r w:rsidR="00041F04">
        <w:rPr>
          <w:rFonts w:ascii="Century Gothic" w:hAnsi="Century Gothic"/>
          <w:sz w:val="22"/>
          <w:szCs w:val="22"/>
        </w:rPr>
        <w:t xml:space="preserve">priorities for </w:t>
      </w:r>
      <w:r w:rsidR="00E24E1C">
        <w:rPr>
          <w:rFonts w:ascii="Century Gothic" w:hAnsi="Century Gothic"/>
          <w:sz w:val="22"/>
          <w:szCs w:val="22"/>
        </w:rPr>
        <w:t xml:space="preserve">the </w:t>
      </w:r>
      <w:r w:rsidR="00B40C33">
        <w:rPr>
          <w:rFonts w:ascii="Century Gothic" w:hAnsi="Century Gothic"/>
          <w:sz w:val="22"/>
          <w:szCs w:val="22"/>
        </w:rPr>
        <w:t>development of activity and/or communications?</w:t>
      </w:r>
      <w:r w:rsidR="0039501B">
        <w:rPr>
          <w:rFonts w:ascii="Century Gothic" w:hAnsi="Century Gothic"/>
          <w:sz w:val="22"/>
          <w:szCs w:val="22"/>
        </w:rPr>
        <w:br/>
      </w:r>
      <w:r w:rsidR="004053DC">
        <w:rPr>
          <w:rFonts w:ascii="Century Gothic" w:hAnsi="Century Gothic"/>
          <w:sz w:val="22"/>
          <w:szCs w:val="22"/>
        </w:rPr>
        <w:t>[</w:t>
      </w:r>
      <w:proofErr w:type="spellStart"/>
      <w:r w:rsidR="00BA7129">
        <w:rPr>
          <w:rFonts w:ascii="Century Gothic" w:hAnsi="Century Gothic"/>
          <w:sz w:val="22"/>
          <w:szCs w:val="22"/>
        </w:rPr>
        <w:t>eg.</w:t>
      </w:r>
      <w:proofErr w:type="spellEnd"/>
      <w:r w:rsidR="00BA7129">
        <w:rPr>
          <w:rFonts w:ascii="Century Gothic" w:hAnsi="Century Gothic"/>
          <w:sz w:val="22"/>
          <w:szCs w:val="22"/>
        </w:rPr>
        <w:t xml:space="preserve"> </w:t>
      </w:r>
      <w:r w:rsidR="004053DC">
        <w:rPr>
          <w:rFonts w:ascii="Century Gothic" w:hAnsi="Century Gothic"/>
          <w:sz w:val="22"/>
          <w:szCs w:val="22"/>
        </w:rPr>
        <w:t>Do</w:t>
      </w:r>
      <w:r w:rsidR="00F278F0">
        <w:rPr>
          <w:rFonts w:ascii="Century Gothic" w:hAnsi="Century Gothic"/>
          <w:sz w:val="22"/>
          <w:szCs w:val="22"/>
        </w:rPr>
        <w:t xml:space="preserve">es our work cover that domain area/Do we achieve outcomes in that </w:t>
      </w:r>
      <w:r w:rsidR="0039501B">
        <w:rPr>
          <w:rFonts w:ascii="Century Gothic" w:hAnsi="Century Gothic"/>
          <w:sz w:val="22"/>
          <w:szCs w:val="22"/>
        </w:rPr>
        <w:t>domain?</w:t>
      </w:r>
      <w:r w:rsidR="0018217A">
        <w:rPr>
          <w:rFonts w:ascii="Century Gothic" w:hAnsi="Century Gothic"/>
          <w:sz w:val="22"/>
          <w:szCs w:val="22"/>
        </w:rPr>
        <w:t xml:space="preserve"> Do we recognise what we achieve in that domain? Do we need or want to do more in that domain?</w:t>
      </w:r>
      <w:r w:rsidR="00BA7129">
        <w:rPr>
          <w:rFonts w:ascii="Century Gothic" w:hAnsi="Century Gothic"/>
          <w:sz w:val="22"/>
          <w:szCs w:val="22"/>
        </w:rPr>
        <w:t xml:space="preserve"> How do we describe our outcomes in that domain?]</w:t>
      </w:r>
    </w:p>
    <w:p w14:paraId="6226BC53" w14:textId="03B92C1C" w:rsidR="008B0F3E" w:rsidRDefault="008B0F3E" w:rsidP="008B0F3E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Mechanisms</w:t>
      </w:r>
    </w:p>
    <w:p w14:paraId="6973DFF9" w14:textId="45BA61F6" w:rsidR="008B0F3E" w:rsidRDefault="002D6749" w:rsidP="008B0F3E">
      <w:pPr>
        <w:pStyle w:val="ListParagraph"/>
        <w:numPr>
          <w:ilvl w:val="0"/>
          <w:numId w:val="8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Is</w:t>
      </w:r>
      <w:r w:rsidR="00FD73D9">
        <w:rPr>
          <w:rFonts w:ascii="Century Gothic" w:hAnsi="Century Gothic"/>
          <w:sz w:val="22"/>
          <w:szCs w:val="22"/>
        </w:rPr>
        <w:t xml:space="preserve"> referring to this </w:t>
      </w:r>
      <w:r>
        <w:rPr>
          <w:rFonts w:ascii="Century Gothic" w:hAnsi="Century Gothic"/>
          <w:sz w:val="22"/>
          <w:szCs w:val="22"/>
        </w:rPr>
        <w:t xml:space="preserve">model useful in </w:t>
      </w:r>
      <w:r w:rsidR="00B17CB5">
        <w:rPr>
          <w:rFonts w:ascii="Century Gothic" w:hAnsi="Century Gothic"/>
          <w:sz w:val="22"/>
          <w:szCs w:val="22"/>
        </w:rPr>
        <w:t xml:space="preserve">helping pinpoint how Healthwatch contributes to change in ways that may not </w:t>
      </w:r>
      <w:r w:rsidR="00814485">
        <w:rPr>
          <w:rFonts w:ascii="Century Gothic" w:hAnsi="Century Gothic"/>
          <w:sz w:val="22"/>
          <w:szCs w:val="22"/>
        </w:rPr>
        <w:t>always be evident and recognised?</w:t>
      </w:r>
    </w:p>
    <w:p w14:paraId="63572999" w14:textId="3649EC13" w:rsidR="00F53218" w:rsidRDefault="00814485" w:rsidP="00F53218">
      <w:pPr>
        <w:pStyle w:val="ListParagraph"/>
        <w:numPr>
          <w:ilvl w:val="0"/>
          <w:numId w:val="8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</w:t>
      </w:r>
      <w:r w:rsidR="00D33777">
        <w:rPr>
          <w:rFonts w:ascii="Century Gothic" w:hAnsi="Century Gothic"/>
          <w:sz w:val="22"/>
          <w:szCs w:val="22"/>
        </w:rPr>
        <w:t>ould</w:t>
      </w:r>
      <w:r>
        <w:rPr>
          <w:rFonts w:ascii="Century Gothic" w:hAnsi="Century Gothic"/>
          <w:sz w:val="22"/>
          <w:szCs w:val="22"/>
        </w:rPr>
        <w:t xml:space="preserve"> considering this further help us</w:t>
      </w:r>
      <w:r w:rsidR="00963BE6">
        <w:rPr>
          <w:rFonts w:ascii="Century Gothic" w:hAnsi="Century Gothic"/>
          <w:sz w:val="22"/>
          <w:szCs w:val="22"/>
        </w:rPr>
        <w:t xml:space="preserve"> enhance our communications about outcomes achieved and </w:t>
      </w:r>
      <w:r w:rsidR="00D33777">
        <w:rPr>
          <w:rFonts w:ascii="Century Gothic" w:hAnsi="Century Gothic"/>
          <w:sz w:val="22"/>
          <w:szCs w:val="22"/>
        </w:rPr>
        <w:t xml:space="preserve">the overall narrative about the value of </w:t>
      </w:r>
      <w:r w:rsidR="006C7518">
        <w:rPr>
          <w:rFonts w:ascii="Century Gothic" w:hAnsi="Century Gothic"/>
          <w:sz w:val="22"/>
          <w:szCs w:val="22"/>
        </w:rPr>
        <w:t>the Healthwatch statutory role?</w:t>
      </w:r>
    </w:p>
    <w:p w14:paraId="0C3E98CF" w14:textId="77777777" w:rsidR="006C7518" w:rsidRDefault="006C7518" w:rsidP="006C7518">
      <w:pPr>
        <w:rPr>
          <w:rFonts w:ascii="Century Gothic" w:hAnsi="Century Gothic"/>
          <w:sz w:val="22"/>
          <w:szCs w:val="22"/>
        </w:rPr>
      </w:pPr>
    </w:p>
    <w:p w14:paraId="27797C04" w14:textId="77777777" w:rsidR="006C7518" w:rsidRPr="006C7518" w:rsidRDefault="006C7518" w:rsidP="006C7518">
      <w:pPr>
        <w:rPr>
          <w:rFonts w:ascii="Century Gothic" w:hAnsi="Century Gothic"/>
          <w:sz w:val="22"/>
          <w:szCs w:val="22"/>
        </w:rPr>
      </w:pPr>
    </w:p>
    <w:sectPr w:rsidR="006C7518" w:rsidRPr="006C7518" w:rsidSect="006D7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6092D" w14:textId="77777777" w:rsidR="003E070D" w:rsidRDefault="003E070D" w:rsidP="00433760">
      <w:pPr>
        <w:spacing w:after="0" w:line="240" w:lineRule="auto"/>
      </w:pPr>
      <w:r>
        <w:separator/>
      </w:r>
    </w:p>
  </w:endnote>
  <w:endnote w:type="continuationSeparator" w:id="0">
    <w:p w14:paraId="6A38D2C7" w14:textId="77777777" w:rsidR="003E070D" w:rsidRDefault="003E070D" w:rsidP="00433760">
      <w:pPr>
        <w:spacing w:after="0" w:line="240" w:lineRule="auto"/>
      </w:pPr>
      <w:r>
        <w:continuationSeparator/>
      </w:r>
    </w:p>
  </w:endnote>
  <w:endnote w:type="continuationNotice" w:id="1">
    <w:p w14:paraId="575F60E9" w14:textId="77777777" w:rsidR="003E070D" w:rsidRDefault="003E07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3969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A386A" w14:textId="1A3D695D" w:rsidR="0030313B" w:rsidRDefault="003031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E1357C" w14:textId="77777777" w:rsidR="0030313B" w:rsidRDefault="00303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C66D2" w14:textId="77777777" w:rsidR="003E070D" w:rsidRDefault="003E070D" w:rsidP="00433760">
      <w:pPr>
        <w:spacing w:after="0" w:line="240" w:lineRule="auto"/>
      </w:pPr>
      <w:r>
        <w:separator/>
      </w:r>
    </w:p>
  </w:footnote>
  <w:footnote w:type="continuationSeparator" w:id="0">
    <w:p w14:paraId="6EFF9D56" w14:textId="77777777" w:rsidR="003E070D" w:rsidRDefault="003E070D" w:rsidP="00433760">
      <w:pPr>
        <w:spacing w:after="0" w:line="240" w:lineRule="auto"/>
      </w:pPr>
      <w:r>
        <w:continuationSeparator/>
      </w:r>
    </w:p>
  </w:footnote>
  <w:footnote w:type="continuationNotice" w:id="1">
    <w:p w14:paraId="4B3D29E3" w14:textId="77777777" w:rsidR="003E070D" w:rsidRDefault="003E070D">
      <w:pPr>
        <w:spacing w:after="0" w:line="240" w:lineRule="auto"/>
      </w:pPr>
    </w:p>
  </w:footnote>
  <w:footnote w:id="2">
    <w:p w14:paraId="567E4AB3" w14:textId="77777777" w:rsidR="007A6408" w:rsidRPr="007A6408" w:rsidRDefault="007A6408" w:rsidP="007A6408">
      <w:pPr>
        <w:rPr>
          <w:rFonts w:ascii="Century Gothic" w:hAnsi="Century Gothic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7A6408">
        <w:rPr>
          <w:rFonts w:ascii="Century Gothic" w:hAnsi="Century Gothic"/>
          <w:sz w:val="20"/>
          <w:szCs w:val="20"/>
        </w:rPr>
        <w:t xml:space="preserve">Smithson, R., Richardson, E., Roberts, J., Walshe, K., Wenzel, L., Robertson, R., Boyd, A., Allen, T., &amp; Proudlove, N. (2018). </w:t>
      </w:r>
      <w:r w:rsidRPr="007A6408">
        <w:rPr>
          <w:rFonts w:ascii="Century Gothic" w:hAnsi="Century Gothic"/>
          <w:i/>
          <w:iCs/>
          <w:sz w:val="20"/>
          <w:szCs w:val="20"/>
        </w:rPr>
        <w:t>Impact of the Care Quality Commission on provider performance: Room for improvement?</w:t>
      </w:r>
      <w:r w:rsidRPr="007A6408">
        <w:rPr>
          <w:rFonts w:ascii="Century Gothic" w:hAnsi="Century Gothic"/>
          <w:sz w:val="20"/>
          <w:szCs w:val="20"/>
        </w:rPr>
        <w:t xml:space="preserve"> King's Fund.</w:t>
      </w:r>
    </w:p>
    <w:p w14:paraId="0AB89B95" w14:textId="46048640" w:rsidR="007A6408" w:rsidRDefault="007A640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F039F" w14:textId="77777777" w:rsidR="005F27A9" w:rsidRDefault="005F2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B41B7"/>
    <w:multiLevelType w:val="hybridMultilevel"/>
    <w:tmpl w:val="B72A3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0F1"/>
    <w:multiLevelType w:val="hybridMultilevel"/>
    <w:tmpl w:val="25E29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76942"/>
    <w:multiLevelType w:val="hybridMultilevel"/>
    <w:tmpl w:val="9C587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63DBE"/>
    <w:multiLevelType w:val="hybridMultilevel"/>
    <w:tmpl w:val="E530F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D4B18"/>
    <w:multiLevelType w:val="hybridMultilevel"/>
    <w:tmpl w:val="4EA80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76703"/>
    <w:multiLevelType w:val="hybridMultilevel"/>
    <w:tmpl w:val="8BB64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36D3A"/>
    <w:multiLevelType w:val="hybridMultilevel"/>
    <w:tmpl w:val="3230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308EE"/>
    <w:multiLevelType w:val="hybridMultilevel"/>
    <w:tmpl w:val="780A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072E7"/>
    <w:multiLevelType w:val="hybridMultilevel"/>
    <w:tmpl w:val="5166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074824">
    <w:abstractNumId w:val="6"/>
  </w:num>
  <w:num w:numId="2" w16cid:durableId="1268998593">
    <w:abstractNumId w:val="8"/>
  </w:num>
  <w:num w:numId="3" w16cid:durableId="1823883436">
    <w:abstractNumId w:val="5"/>
  </w:num>
  <w:num w:numId="4" w16cid:durableId="22903985">
    <w:abstractNumId w:val="7"/>
  </w:num>
  <w:num w:numId="5" w16cid:durableId="1859467134">
    <w:abstractNumId w:val="1"/>
  </w:num>
  <w:num w:numId="6" w16cid:durableId="1635332457">
    <w:abstractNumId w:val="4"/>
  </w:num>
  <w:num w:numId="7" w16cid:durableId="367872526">
    <w:abstractNumId w:val="3"/>
  </w:num>
  <w:num w:numId="8" w16cid:durableId="734930973">
    <w:abstractNumId w:val="0"/>
  </w:num>
  <w:num w:numId="9" w16cid:durableId="199887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57"/>
    <w:rsid w:val="000017C6"/>
    <w:rsid w:val="00002084"/>
    <w:rsid w:val="00006F0E"/>
    <w:rsid w:val="0000761B"/>
    <w:rsid w:val="00011FAC"/>
    <w:rsid w:val="00012000"/>
    <w:rsid w:val="0001407F"/>
    <w:rsid w:val="00016D05"/>
    <w:rsid w:val="00020C78"/>
    <w:rsid w:val="00021053"/>
    <w:rsid w:val="00041F04"/>
    <w:rsid w:val="00045274"/>
    <w:rsid w:val="00047C9D"/>
    <w:rsid w:val="000506B4"/>
    <w:rsid w:val="00051E4C"/>
    <w:rsid w:val="000559BE"/>
    <w:rsid w:val="00055EAA"/>
    <w:rsid w:val="00057A12"/>
    <w:rsid w:val="000600D8"/>
    <w:rsid w:val="00061E20"/>
    <w:rsid w:val="00062954"/>
    <w:rsid w:val="00063977"/>
    <w:rsid w:val="00071FFA"/>
    <w:rsid w:val="00073283"/>
    <w:rsid w:val="00081E97"/>
    <w:rsid w:val="0008679C"/>
    <w:rsid w:val="00086E5F"/>
    <w:rsid w:val="00091450"/>
    <w:rsid w:val="00091F39"/>
    <w:rsid w:val="000952A3"/>
    <w:rsid w:val="00095E07"/>
    <w:rsid w:val="000967DA"/>
    <w:rsid w:val="000A78AB"/>
    <w:rsid w:val="000A7FED"/>
    <w:rsid w:val="000B667F"/>
    <w:rsid w:val="000B7B53"/>
    <w:rsid w:val="000C0A55"/>
    <w:rsid w:val="000C1B7C"/>
    <w:rsid w:val="000C451C"/>
    <w:rsid w:val="000D00F0"/>
    <w:rsid w:val="000D320F"/>
    <w:rsid w:val="000D4FC7"/>
    <w:rsid w:val="000D5DB2"/>
    <w:rsid w:val="000E3202"/>
    <w:rsid w:val="000E3303"/>
    <w:rsid w:val="000E7368"/>
    <w:rsid w:val="000E760B"/>
    <w:rsid w:val="000F2FFC"/>
    <w:rsid w:val="000F37B6"/>
    <w:rsid w:val="000F39D6"/>
    <w:rsid w:val="001006F9"/>
    <w:rsid w:val="00105D84"/>
    <w:rsid w:val="00111A6C"/>
    <w:rsid w:val="001127EA"/>
    <w:rsid w:val="00121D8C"/>
    <w:rsid w:val="00123283"/>
    <w:rsid w:val="00126EF7"/>
    <w:rsid w:val="00131189"/>
    <w:rsid w:val="00132F19"/>
    <w:rsid w:val="0013794D"/>
    <w:rsid w:val="00137A70"/>
    <w:rsid w:val="0014082C"/>
    <w:rsid w:val="001425DC"/>
    <w:rsid w:val="00143A9E"/>
    <w:rsid w:val="00145728"/>
    <w:rsid w:val="00145F05"/>
    <w:rsid w:val="0014773E"/>
    <w:rsid w:val="0015214D"/>
    <w:rsid w:val="00157D8D"/>
    <w:rsid w:val="00160A58"/>
    <w:rsid w:val="00160DEB"/>
    <w:rsid w:val="00162161"/>
    <w:rsid w:val="00163E1E"/>
    <w:rsid w:val="00163FFF"/>
    <w:rsid w:val="0016769E"/>
    <w:rsid w:val="0016781F"/>
    <w:rsid w:val="00170922"/>
    <w:rsid w:val="0017518C"/>
    <w:rsid w:val="00180048"/>
    <w:rsid w:val="0018217A"/>
    <w:rsid w:val="001872C5"/>
    <w:rsid w:val="001878F9"/>
    <w:rsid w:val="00193720"/>
    <w:rsid w:val="00195A5E"/>
    <w:rsid w:val="00195E15"/>
    <w:rsid w:val="00196457"/>
    <w:rsid w:val="00197EB7"/>
    <w:rsid w:val="001A15BA"/>
    <w:rsid w:val="001A2E45"/>
    <w:rsid w:val="001A44A2"/>
    <w:rsid w:val="001B35C9"/>
    <w:rsid w:val="001B5803"/>
    <w:rsid w:val="001B63AD"/>
    <w:rsid w:val="001B6910"/>
    <w:rsid w:val="001B74DB"/>
    <w:rsid w:val="001B7672"/>
    <w:rsid w:val="001B7739"/>
    <w:rsid w:val="001C194D"/>
    <w:rsid w:val="001C33D9"/>
    <w:rsid w:val="001C40CE"/>
    <w:rsid w:val="001C5994"/>
    <w:rsid w:val="001C648A"/>
    <w:rsid w:val="001C7586"/>
    <w:rsid w:val="001D08F5"/>
    <w:rsid w:val="001D142F"/>
    <w:rsid w:val="001D49A2"/>
    <w:rsid w:val="001D4EA4"/>
    <w:rsid w:val="001D5DB5"/>
    <w:rsid w:val="001E0CDB"/>
    <w:rsid w:val="001E0ED9"/>
    <w:rsid w:val="001E1816"/>
    <w:rsid w:val="001E2387"/>
    <w:rsid w:val="001E3B34"/>
    <w:rsid w:val="001E4FB1"/>
    <w:rsid w:val="001E5785"/>
    <w:rsid w:val="001E6ECB"/>
    <w:rsid w:val="001E7601"/>
    <w:rsid w:val="001E784D"/>
    <w:rsid w:val="001E7CCE"/>
    <w:rsid w:val="001F4BF9"/>
    <w:rsid w:val="001F5ED9"/>
    <w:rsid w:val="001F785F"/>
    <w:rsid w:val="0020345D"/>
    <w:rsid w:val="0020490D"/>
    <w:rsid w:val="00225630"/>
    <w:rsid w:val="0022675F"/>
    <w:rsid w:val="00230058"/>
    <w:rsid w:val="00232444"/>
    <w:rsid w:val="00251E65"/>
    <w:rsid w:val="00252F24"/>
    <w:rsid w:val="0025469D"/>
    <w:rsid w:val="00263A7A"/>
    <w:rsid w:val="00270CD3"/>
    <w:rsid w:val="00274BC1"/>
    <w:rsid w:val="002819B6"/>
    <w:rsid w:val="00282737"/>
    <w:rsid w:val="0028762E"/>
    <w:rsid w:val="00291153"/>
    <w:rsid w:val="00291C17"/>
    <w:rsid w:val="00294677"/>
    <w:rsid w:val="00294988"/>
    <w:rsid w:val="00296F80"/>
    <w:rsid w:val="00297862"/>
    <w:rsid w:val="002A0880"/>
    <w:rsid w:val="002A0AC5"/>
    <w:rsid w:val="002A3D59"/>
    <w:rsid w:val="002A4C25"/>
    <w:rsid w:val="002A5637"/>
    <w:rsid w:val="002A5C66"/>
    <w:rsid w:val="002A7838"/>
    <w:rsid w:val="002B06C2"/>
    <w:rsid w:val="002B2266"/>
    <w:rsid w:val="002B54EE"/>
    <w:rsid w:val="002C1623"/>
    <w:rsid w:val="002C29F4"/>
    <w:rsid w:val="002C484D"/>
    <w:rsid w:val="002C55B4"/>
    <w:rsid w:val="002C7EB8"/>
    <w:rsid w:val="002D6749"/>
    <w:rsid w:val="002E1FD2"/>
    <w:rsid w:val="002E3585"/>
    <w:rsid w:val="002E49AC"/>
    <w:rsid w:val="002E5306"/>
    <w:rsid w:val="002E5DCD"/>
    <w:rsid w:val="002F3331"/>
    <w:rsid w:val="002F3F69"/>
    <w:rsid w:val="002F4AE6"/>
    <w:rsid w:val="0030122E"/>
    <w:rsid w:val="00302373"/>
    <w:rsid w:val="00302627"/>
    <w:rsid w:val="00302633"/>
    <w:rsid w:val="0030313B"/>
    <w:rsid w:val="003055BB"/>
    <w:rsid w:val="003073E7"/>
    <w:rsid w:val="00325870"/>
    <w:rsid w:val="00327C78"/>
    <w:rsid w:val="00327D55"/>
    <w:rsid w:val="00330743"/>
    <w:rsid w:val="00331F63"/>
    <w:rsid w:val="00332FF0"/>
    <w:rsid w:val="0033353D"/>
    <w:rsid w:val="0033388C"/>
    <w:rsid w:val="00346D5D"/>
    <w:rsid w:val="003618F5"/>
    <w:rsid w:val="00362199"/>
    <w:rsid w:val="00362CD7"/>
    <w:rsid w:val="00363E07"/>
    <w:rsid w:val="00371677"/>
    <w:rsid w:val="00372B9A"/>
    <w:rsid w:val="00372EF4"/>
    <w:rsid w:val="00375644"/>
    <w:rsid w:val="003760B4"/>
    <w:rsid w:val="00376314"/>
    <w:rsid w:val="00380935"/>
    <w:rsid w:val="00380ED9"/>
    <w:rsid w:val="00385D74"/>
    <w:rsid w:val="0039501B"/>
    <w:rsid w:val="00395570"/>
    <w:rsid w:val="0039596F"/>
    <w:rsid w:val="003A0690"/>
    <w:rsid w:val="003A546F"/>
    <w:rsid w:val="003B46E1"/>
    <w:rsid w:val="003B6D10"/>
    <w:rsid w:val="003C132D"/>
    <w:rsid w:val="003C1ABC"/>
    <w:rsid w:val="003C68AF"/>
    <w:rsid w:val="003C7D71"/>
    <w:rsid w:val="003D3E0B"/>
    <w:rsid w:val="003E070D"/>
    <w:rsid w:val="003E4337"/>
    <w:rsid w:val="003E5B83"/>
    <w:rsid w:val="003E76D9"/>
    <w:rsid w:val="003F1F21"/>
    <w:rsid w:val="003F3CA1"/>
    <w:rsid w:val="003F4133"/>
    <w:rsid w:val="003F415D"/>
    <w:rsid w:val="003F6AD1"/>
    <w:rsid w:val="004053DC"/>
    <w:rsid w:val="00407616"/>
    <w:rsid w:val="00411F04"/>
    <w:rsid w:val="0041250F"/>
    <w:rsid w:val="004133AD"/>
    <w:rsid w:val="0041374E"/>
    <w:rsid w:val="00413F45"/>
    <w:rsid w:val="004163FD"/>
    <w:rsid w:val="00416E00"/>
    <w:rsid w:val="00422B15"/>
    <w:rsid w:val="004232B2"/>
    <w:rsid w:val="00423ABB"/>
    <w:rsid w:val="00424200"/>
    <w:rsid w:val="00424ADB"/>
    <w:rsid w:val="00427B4B"/>
    <w:rsid w:val="00430473"/>
    <w:rsid w:val="00430D0E"/>
    <w:rsid w:val="00432227"/>
    <w:rsid w:val="00433760"/>
    <w:rsid w:val="004377A0"/>
    <w:rsid w:val="00445FE1"/>
    <w:rsid w:val="004467B1"/>
    <w:rsid w:val="00446E1C"/>
    <w:rsid w:val="00452C19"/>
    <w:rsid w:val="00462CC6"/>
    <w:rsid w:val="004658D0"/>
    <w:rsid w:val="00465C1D"/>
    <w:rsid w:val="004673E9"/>
    <w:rsid w:val="00470CE4"/>
    <w:rsid w:val="004735EC"/>
    <w:rsid w:val="00474446"/>
    <w:rsid w:val="00475BD1"/>
    <w:rsid w:val="00476C21"/>
    <w:rsid w:val="00483A64"/>
    <w:rsid w:val="004842BF"/>
    <w:rsid w:val="00485CCE"/>
    <w:rsid w:val="00486011"/>
    <w:rsid w:val="00490353"/>
    <w:rsid w:val="00490C9D"/>
    <w:rsid w:val="0049346B"/>
    <w:rsid w:val="00497395"/>
    <w:rsid w:val="004A1BFA"/>
    <w:rsid w:val="004A2E92"/>
    <w:rsid w:val="004A3A48"/>
    <w:rsid w:val="004A5E10"/>
    <w:rsid w:val="004A797F"/>
    <w:rsid w:val="004B3E56"/>
    <w:rsid w:val="004B41E7"/>
    <w:rsid w:val="004B634E"/>
    <w:rsid w:val="004C04DB"/>
    <w:rsid w:val="004C0586"/>
    <w:rsid w:val="004C5454"/>
    <w:rsid w:val="004D0608"/>
    <w:rsid w:val="004D0BE5"/>
    <w:rsid w:val="004D3BA7"/>
    <w:rsid w:val="004D6D3D"/>
    <w:rsid w:val="004F2D7A"/>
    <w:rsid w:val="004F70DC"/>
    <w:rsid w:val="00501310"/>
    <w:rsid w:val="005019C7"/>
    <w:rsid w:val="00503F75"/>
    <w:rsid w:val="005045AC"/>
    <w:rsid w:val="005051BA"/>
    <w:rsid w:val="00507564"/>
    <w:rsid w:val="005075B4"/>
    <w:rsid w:val="00516BB4"/>
    <w:rsid w:val="00526A0F"/>
    <w:rsid w:val="00532FA8"/>
    <w:rsid w:val="005361BC"/>
    <w:rsid w:val="0053694D"/>
    <w:rsid w:val="00537883"/>
    <w:rsid w:val="00537983"/>
    <w:rsid w:val="00542887"/>
    <w:rsid w:val="00545923"/>
    <w:rsid w:val="00551662"/>
    <w:rsid w:val="00552FC9"/>
    <w:rsid w:val="0055643F"/>
    <w:rsid w:val="00556813"/>
    <w:rsid w:val="005636F9"/>
    <w:rsid w:val="00566259"/>
    <w:rsid w:val="0056678F"/>
    <w:rsid w:val="00570489"/>
    <w:rsid w:val="005719FC"/>
    <w:rsid w:val="0057377E"/>
    <w:rsid w:val="00575C28"/>
    <w:rsid w:val="005818CD"/>
    <w:rsid w:val="005839DC"/>
    <w:rsid w:val="00585504"/>
    <w:rsid w:val="00587CD2"/>
    <w:rsid w:val="0059016E"/>
    <w:rsid w:val="005956C8"/>
    <w:rsid w:val="005A2099"/>
    <w:rsid w:val="005A2D3A"/>
    <w:rsid w:val="005A33B9"/>
    <w:rsid w:val="005A400B"/>
    <w:rsid w:val="005A47F3"/>
    <w:rsid w:val="005A549B"/>
    <w:rsid w:val="005A7D08"/>
    <w:rsid w:val="005B023A"/>
    <w:rsid w:val="005B0BEA"/>
    <w:rsid w:val="005B1AF3"/>
    <w:rsid w:val="005C134E"/>
    <w:rsid w:val="005C1793"/>
    <w:rsid w:val="005D0D96"/>
    <w:rsid w:val="005D11FD"/>
    <w:rsid w:val="005D4DFD"/>
    <w:rsid w:val="005E272F"/>
    <w:rsid w:val="005E3C10"/>
    <w:rsid w:val="005E5310"/>
    <w:rsid w:val="005E6042"/>
    <w:rsid w:val="005E670B"/>
    <w:rsid w:val="005F27A9"/>
    <w:rsid w:val="005F2A24"/>
    <w:rsid w:val="005F3EEC"/>
    <w:rsid w:val="005F487A"/>
    <w:rsid w:val="005F6597"/>
    <w:rsid w:val="00600BC9"/>
    <w:rsid w:val="006014DF"/>
    <w:rsid w:val="00601E55"/>
    <w:rsid w:val="00603F78"/>
    <w:rsid w:val="00613939"/>
    <w:rsid w:val="00617AC4"/>
    <w:rsid w:val="00622898"/>
    <w:rsid w:val="00622B84"/>
    <w:rsid w:val="00623E22"/>
    <w:rsid w:val="00625869"/>
    <w:rsid w:val="00625AA6"/>
    <w:rsid w:val="00630AAD"/>
    <w:rsid w:val="00631B91"/>
    <w:rsid w:val="0063480C"/>
    <w:rsid w:val="006352F4"/>
    <w:rsid w:val="006354B1"/>
    <w:rsid w:val="0063600B"/>
    <w:rsid w:val="0063617E"/>
    <w:rsid w:val="00636A8F"/>
    <w:rsid w:val="006445AD"/>
    <w:rsid w:val="006457C3"/>
    <w:rsid w:val="006461C4"/>
    <w:rsid w:val="00647D6D"/>
    <w:rsid w:val="00651D97"/>
    <w:rsid w:val="00651E71"/>
    <w:rsid w:val="006543FB"/>
    <w:rsid w:val="0065602D"/>
    <w:rsid w:val="006560F6"/>
    <w:rsid w:val="00657C48"/>
    <w:rsid w:val="00662E03"/>
    <w:rsid w:val="00666A30"/>
    <w:rsid w:val="00670BCE"/>
    <w:rsid w:val="00671AF5"/>
    <w:rsid w:val="006741D4"/>
    <w:rsid w:val="006751A0"/>
    <w:rsid w:val="00675254"/>
    <w:rsid w:val="006775A9"/>
    <w:rsid w:val="00683916"/>
    <w:rsid w:val="00683D65"/>
    <w:rsid w:val="00687B13"/>
    <w:rsid w:val="0069019F"/>
    <w:rsid w:val="0069152F"/>
    <w:rsid w:val="00691BF7"/>
    <w:rsid w:val="00696C4E"/>
    <w:rsid w:val="006A4814"/>
    <w:rsid w:val="006A539E"/>
    <w:rsid w:val="006A7790"/>
    <w:rsid w:val="006B3693"/>
    <w:rsid w:val="006B795F"/>
    <w:rsid w:val="006C7518"/>
    <w:rsid w:val="006C7865"/>
    <w:rsid w:val="006D18C1"/>
    <w:rsid w:val="006D3558"/>
    <w:rsid w:val="006D46B6"/>
    <w:rsid w:val="006D656C"/>
    <w:rsid w:val="006D758E"/>
    <w:rsid w:val="006D7D9A"/>
    <w:rsid w:val="006E00AE"/>
    <w:rsid w:val="006E3E09"/>
    <w:rsid w:val="006E4268"/>
    <w:rsid w:val="006E4270"/>
    <w:rsid w:val="006E51EF"/>
    <w:rsid w:val="006E5567"/>
    <w:rsid w:val="006E6027"/>
    <w:rsid w:val="006E6989"/>
    <w:rsid w:val="006F08DC"/>
    <w:rsid w:val="006F5597"/>
    <w:rsid w:val="006F6837"/>
    <w:rsid w:val="006F7A40"/>
    <w:rsid w:val="007010C0"/>
    <w:rsid w:val="00706BD8"/>
    <w:rsid w:val="007179F9"/>
    <w:rsid w:val="00721D5E"/>
    <w:rsid w:val="00722635"/>
    <w:rsid w:val="007240F8"/>
    <w:rsid w:val="007244D7"/>
    <w:rsid w:val="007250EE"/>
    <w:rsid w:val="0072609D"/>
    <w:rsid w:val="00730F2D"/>
    <w:rsid w:val="00734D5C"/>
    <w:rsid w:val="007373DA"/>
    <w:rsid w:val="00750AEC"/>
    <w:rsid w:val="007554C0"/>
    <w:rsid w:val="0075563F"/>
    <w:rsid w:val="0076449F"/>
    <w:rsid w:val="007700DC"/>
    <w:rsid w:val="00771DE5"/>
    <w:rsid w:val="00773BE0"/>
    <w:rsid w:val="00776C6B"/>
    <w:rsid w:val="007811ED"/>
    <w:rsid w:val="00781FF6"/>
    <w:rsid w:val="007820B1"/>
    <w:rsid w:val="00784AB2"/>
    <w:rsid w:val="00785616"/>
    <w:rsid w:val="007874FC"/>
    <w:rsid w:val="00791D26"/>
    <w:rsid w:val="00797B24"/>
    <w:rsid w:val="007A0BE7"/>
    <w:rsid w:val="007A3221"/>
    <w:rsid w:val="007A386B"/>
    <w:rsid w:val="007A537F"/>
    <w:rsid w:val="007A5E85"/>
    <w:rsid w:val="007A62BF"/>
    <w:rsid w:val="007A6408"/>
    <w:rsid w:val="007A70C2"/>
    <w:rsid w:val="007B1085"/>
    <w:rsid w:val="007B4958"/>
    <w:rsid w:val="007B5FF4"/>
    <w:rsid w:val="007B6358"/>
    <w:rsid w:val="007B6E10"/>
    <w:rsid w:val="007C269B"/>
    <w:rsid w:val="007C2DA8"/>
    <w:rsid w:val="007C33C2"/>
    <w:rsid w:val="007C3D5F"/>
    <w:rsid w:val="007C6EDE"/>
    <w:rsid w:val="007D309A"/>
    <w:rsid w:val="007D4115"/>
    <w:rsid w:val="007E0031"/>
    <w:rsid w:val="007E19C3"/>
    <w:rsid w:val="007E3668"/>
    <w:rsid w:val="007E5E00"/>
    <w:rsid w:val="007E7860"/>
    <w:rsid w:val="007F09C2"/>
    <w:rsid w:val="007F14DD"/>
    <w:rsid w:val="007F66EB"/>
    <w:rsid w:val="00800377"/>
    <w:rsid w:val="00800758"/>
    <w:rsid w:val="00802027"/>
    <w:rsid w:val="008032D3"/>
    <w:rsid w:val="00807AB6"/>
    <w:rsid w:val="00810C6F"/>
    <w:rsid w:val="00810E9F"/>
    <w:rsid w:val="00814485"/>
    <w:rsid w:val="00816B09"/>
    <w:rsid w:val="0081773C"/>
    <w:rsid w:val="00826081"/>
    <w:rsid w:val="00827FE3"/>
    <w:rsid w:val="00833D5F"/>
    <w:rsid w:val="00835B8F"/>
    <w:rsid w:val="008364F3"/>
    <w:rsid w:val="008370A8"/>
    <w:rsid w:val="00837309"/>
    <w:rsid w:val="00841A49"/>
    <w:rsid w:val="0084207F"/>
    <w:rsid w:val="00842AB6"/>
    <w:rsid w:val="00842E8F"/>
    <w:rsid w:val="008516A4"/>
    <w:rsid w:val="00852913"/>
    <w:rsid w:val="00853723"/>
    <w:rsid w:val="00853DB2"/>
    <w:rsid w:val="00854AE6"/>
    <w:rsid w:val="00856B6E"/>
    <w:rsid w:val="00860876"/>
    <w:rsid w:val="00861B09"/>
    <w:rsid w:val="00861E2F"/>
    <w:rsid w:val="00874EEC"/>
    <w:rsid w:val="008752EA"/>
    <w:rsid w:val="008755AE"/>
    <w:rsid w:val="008774E5"/>
    <w:rsid w:val="00880F5D"/>
    <w:rsid w:val="00880FA0"/>
    <w:rsid w:val="00881B26"/>
    <w:rsid w:val="00882D2F"/>
    <w:rsid w:val="00885F6A"/>
    <w:rsid w:val="00886E5D"/>
    <w:rsid w:val="00887BB8"/>
    <w:rsid w:val="00890B95"/>
    <w:rsid w:val="00891BF7"/>
    <w:rsid w:val="00893412"/>
    <w:rsid w:val="008964ED"/>
    <w:rsid w:val="00896C9D"/>
    <w:rsid w:val="008A26ED"/>
    <w:rsid w:val="008A3FD7"/>
    <w:rsid w:val="008A68CA"/>
    <w:rsid w:val="008A7B4E"/>
    <w:rsid w:val="008B0F3E"/>
    <w:rsid w:val="008B6532"/>
    <w:rsid w:val="008B7AB9"/>
    <w:rsid w:val="008D3C7E"/>
    <w:rsid w:val="008D4CF3"/>
    <w:rsid w:val="008D7BE1"/>
    <w:rsid w:val="008E02B5"/>
    <w:rsid w:val="008E2468"/>
    <w:rsid w:val="008E40A1"/>
    <w:rsid w:val="008E5A26"/>
    <w:rsid w:val="008E7307"/>
    <w:rsid w:val="008F189B"/>
    <w:rsid w:val="008F25B8"/>
    <w:rsid w:val="008F2785"/>
    <w:rsid w:val="008F74A9"/>
    <w:rsid w:val="00902ADA"/>
    <w:rsid w:val="00902C90"/>
    <w:rsid w:val="009065F0"/>
    <w:rsid w:val="009066C0"/>
    <w:rsid w:val="009074D7"/>
    <w:rsid w:val="00914B00"/>
    <w:rsid w:val="009172E1"/>
    <w:rsid w:val="00917B35"/>
    <w:rsid w:val="00922C90"/>
    <w:rsid w:val="0092330E"/>
    <w:rsid w:val="009253E6"/>
    <w:rsid w:val="009255A5"/>
    <w:rsid w:val="009307C0"/>
    <w:rsid w:val="00930EAD"/>
    <w:rsid w:val="00931EA2"/>
    <w:rsid w:val="00933385"/>
    <w:rsid w:val="00935E50"/>
    <w:rsid w:val="00936AB3"/>
    <w:rsid w:val="00937E62"/>
    <w:rsid w:val="0094231D"/>
    <w:rsid w:val="00942AD6"/>
    <w:rsid w:val="00942C42"/>
    <w:rsid w:val="009450B5"/>
    <w:rsid w:val="00945DF6"/>
    <w:rsid w:val="009522D7"/>
    <w:rsid w:val="00954608"/>
    <w:rsid w:val="00957708"/>
    <w:rsid w:val="00960357"/>
    <w:rsid w:val="00961ADE"/>
    <w:rsid w:val="009620F1"/>
    <w:rsid w:val="00963BE6"/>
    <w:rsid w:val="00963F53"/>
    <w:rsid w:val="009678CF"/>
    <w:rsid w:val="0097160C"/>
    <w:rsid w:val="009769CF"/>
    <w:rsid w:val="00982E43"/>
    <w:rsid w:val="009833A5"/>
    <w:rsid w:val="00987020"/>
    <w:rsid w:val="0099106A"/>
    <w:rsid w:val="00993593"/>
    <w:rsid w:val="0099758E"/>
    <w:rsid w:val="00997638"/>
    <w:rsid w:val="009A1051"/>
    <w:rsid w:val="009A46F8"/>
    <w:rsid w:val="009A535F"/>
    <w:rsid w:val="009A5C5B"/>
    <w:rsid w:val="009A6245"/>
    <w:rsid w:val="009B2223"/>
    <w:rsid w:val="009B27F2"/>
    <w:rsid w:val="009B2824"/>
    <w:rsid w:val="009B2B23"/>
    <w:rsid w:val="009C3509"/>
    <w:rsid w:val="009C3A2A"/>
    <w:rsid w:val="009C5085"/>
    <w:rsid w:val="009C530E"/>
    <w:rsid w:val="009C5B7F"/>
    <w:rsid w:val="009C6583"/>
    <w:rsid w:val="009D6774"/>
    <w:rsid w:val="009E2970"/>
    <w:rsid w:val="009E66EA"/>
    <w:rsid w:val="009E7CD3"/>
    <w:rsid w:val="009F0BD3"/>
    <w:rsid w:val="009F59C7"/>
    <w:rsid w:val="009F5DB1"/>
    <w:rsid w:val="00A00246"/>
    <w:rsid w:val="00A043B9"/>
    <w:rsid w:val="00A07CFE"/>
    <w:rsid w:val="00A10C09"/>
    <w:rsid w:val="00A13CFC"/>
    <w:rsid w:val="00A17DCD"/>
    <w:rsid w:val="00A26E92"/>
    <w:rsid w:val="00A32292"/>
    <w:rsid w:val="00A32D92"/>
    <w:rsid w:val="00A3559B"/>
    <w:rsid w:val="00A37F9B"/>
    <w:rsid w:val="00A41AED"/>
    <w:rsid w:val="00A46563"/>
    <w:rsid w:val="00A4742D"/>
    <w:rsid w:val="00A52FE7"/>
    <w:rsid w:val="00A5414F"/>
    <w:rsid w:val="00A5498A"/>
    <w:rsid w:val="00A57956"/>
    <w:rsid w:val="00A6065F"/>
    <w:rsid w:val="00A65481"/>
    <w:rsid w:val="00A70303"/>
    <w:rsid w:val="00A70553"/>
    <w:rsid w:val="00A72018"/>
    <w:rsid w:val="00A74202"/>
    <w:rsid w:val="00A75694"/>
    <w:rsid w:val="00A75FA3"/>
    <w:rsid w:val="00A76B3A"/>
    <w:rsid w:val="00A83A55"/>
    <w:rsid w:val="00A84395"/>
    <w:rsid w:val="00A868AC"/>
    <w:rsid w:val="00A90177"/>
    <w:rsid w:val="00A90A11"/>
    <w:rsid w:val="00A923A8"/>
    <w:rsid w:val="00A9253D"/>
    <w:rsid w:val="00A9337D"/>
    <w:rsid w:val="00A9422C"/>
    <w:rsid w:val="00A94E9E"/>
    <w:rsid w:val="00A954BE"/>
    <w:rsid w:val="00A9720F"/>
    <w:rsid w:val="00A97A42"/>
    <w:rsid w:val="00AA4F89"/>
    <w:rsid w:val="00AA7FD5"/>
    <w:rsid w:val="00AB026A"/>
    <w:rsid w:val="00AB0EEC"/>
    <w:rsid w:val="00AB2195"/>
    <w:rsid w:val="00AB35A4"/>
    <w:rsid w:val="00AB3D9D"/>
    <w:rsid w:val="00AB413C"/>
    <w:rsid w:val="00AB45F3"/>
    <w:rsid w:val="00AC4B53"/>
    <w:rsid w:val="00AC6EF7"/>
    <w:rsid w:val="00AC7976"/>
    <w:rsid w:val="00AD2831"/>
    <w:rsid w:val="00AD2BB5"/>
    <w:rsid w:val="00AD34B0"/>
    <w:rsid w:val="00AD4289"/>
    <w:rsid w:val="00AD42CA"/>
    <w:rsid w:val="00AE0078"/>
    <w:rsid w:val="00AE2072"/>
    <w:rsid w:val="00AE28A7"/>
    <w:rsid w:val="00AE2D36"/>
    <w:rsid w:val="00AE2F2D"/>
    <w:rsid w:val="00AF06AC"/>
    <w:rsid w:val="00AF1B70"/>
    <w:rsid w:val="00B0301C"/>
    <w:rsid w:val="00B038F1"/>
    <w:rsid w:val="00B04E68"/>
    <w:rsid w:val="00B05B31"/>
    <w:rsid w:val="00B05EBC"/>
    <w:rsid w:val="00B10398"/>
    <w:rsid w:val="00B107CB"/>
    <w:rsid w:val="00B10CA8"/>
    <w:rsid w:val="00B11B37"/>
    <w:rsid w:val="00B11E10"/>
    <w:rsid w:val="00B12D11"/>
    <w:rsid w:val="00B13681"/>
    <w:rsid w:val="00B1479A"/>
    <w:rsid w:val="00B153F4"/>
    <w:rsid w:val="00B17C07"/>
    <w:rsid w:val="00B17CB5"/>
    <w:rsid w:val="00B20029"/>
    <w:rsid w:val="00B2100F"/>
    <w:rsid w:val="00B300E1"/>
    <w:rsid w:val="00B30969"/>
    <w:rsid w:val="00B314A5"/>
    <w:rsid w:val="00B31F6B"/>
    <w:rsid w:val="00B32C54"/>
    <w:rsid w:val="00B33941"/>
    <w:rsid w:val="00B353F6"/>
    <w:rsid w:val="00B40C33"/>
    <w:rsid w:val="00B40DF9"/>
    <w:rsid w:val="00B45392"/>
    <w:rsid w:val="00B46E51"/>
    <w:rsid w:val="00B51E8E"/>
    <w:rsid w:val="00B52612"/>
    <w:rsid w:val="00B56380"/>
    <w:rsid w:val="00B60B93"/>
    <w:rsid w:val="00B62604"/>
    <w:rsid w:val="00B64078"/>
    <w:rsid w:val="00B66B13"/>
    <w:rsid w:val="00B66FDB"/>
    <w:rsid w:val="00B70390"/>
    <w:rsid w:val="00B83890"/>
    <w:rsid w:val="00B900D1"/>
    <w:rsid w:val="00B910D7"/>
    <w:rsid w:val="00B91EDF"/>
    <w:rsid w:val="00B92874"/>
    <w:rsid w:val="00B934CD"/>
    <w:rsid w:val="00B9417F"/>
    <w:rsid w:val="00B9462E"/>
    <w:rsid w:val="00B95E57"/>
    <w:rsid w:val="00BA1ED3"/>
    <w:rsid w:val="00BA3298"/>
    <w:rsid w:val="00BA3B5D"/>
    <w:rsid w:val="00BA6441"/>
    <w:rsid w:val="00BA7129"/>
    <w:rsid w:val="00BA7E11"/>
    <w:rsid w:val="00BB2699"/>
    <w:rsid w:val="00BB2D89"/>
    <w:rsid w:val="00BB2F95"/>
    <w:rsid w:val="00BC11B1"/>
    <w:rsid w:val="00BC20C9"/>
    <w:rsid w:val="00BC2EAB"/>
    <w:rsid w:val="00BC7F87"/>
    <w:rsid w:val="00BD0769"/>
    <w:rsid w:val="00BE2661"/>
    <w:rsid w:val="00BE773E"/>
    <w:rsid w:val="00BF1960"/>
    <w:rsid w:val="00BF2091"/>
    <w:rsid w:val="00C01ADB"/>
    <w:rsid w:val="00C0702E"/>
    <w:rsid w:val="00C106AC"/>
    <w:rsid w:val="00C10DEF"/>
    <w:rsid w:val="00C13672"/>
    <w:rsid w:val="00C21B74"/>
    <w:rsid w:val="00C22191"/>
    <w:rsid w:val="00C418FA"/>
    <w:rsid w:val="00C4500B"/>
    <w:rsid w:val="00C45777"/>
    <w:rsid w:val="00C465A9"/>
    <w:rsid w:val="00C47F47"/>
    <w:rsid w:val="00C50BC4"/>
    <w:rsid w:val="00C51B20"/>
    <w:rsid w:val="00C522E6"/>
    <w:rsid w:val="00C54199"/>
    <w:rsid w:val="00C54D85"/>
    <w:rsid w:val="00C55541"/>
    <w:rsid w:val="00C561CA"/>
    <w:rsid w:val="00C571B6"/>
    <w:rsid w:val="00C5763B"/>
    <w:rsid w:val="00C6074A"/>
    <w:rsid w:val="00C639A5"/>
    <w:rsid w:val="00C65724"/>
    <w:rsid w:val="00C66F14"/>
    <w:rsid w:val="00C67F5F"/>
    <w:rsid w:val="00C72911"/>
    <w:rsid w:val="00C73152"/>
    <w:rsid w:val="00C74FD2"/>
    <w:rsid w:val="00C7632E"/>
    <w:rsid w:val="00C76434"/>
    <w:rsid w:val="00C76938"/>
    <w:rsid w:val="00C776CD"/>
    <w:rsid w:val="00C82410"/>
    <w:rsid w:val="00C84E09"/>
    <w:rsid w:val="00C85E94"/>
    <w:rsid w:val="00C87205"/>
    <w:rsid w:val="00C9072D"/>
    <w:rsid w:val="00C91E04"/>
    <w:rsid w:val="00C95A9F"/>
    <w:rsid w:val="00C95CA8"/>
    <w:rsid w:val="00C977CE"/>
    <w:rsid w:val="00CA0C8B"/>
    <w:rsid w:val="00CA25C5"/>
    <w:rsid w:val="00CA39F1"/>
    <w:rsid w:val="00CB03D8"/>
    <w:rsid w:val="00CB14DA"/>
    <w:rsid w:val="00CB2EC7"/>
    <w:rsid w:val="00CC02DA"/>
    <w:rsid w:val="00CC139A"/>
    <w:rsid w:val="00CC1AB3"/>
    <w:rsid w:val="00CC257B"/>
    <w:rsid w:val="00CC2B39"/>
    <w:rsid w:val="00CC73A0"/>
    <w:rsid w:val="00CD5444"/>
    <w:rsid w:val="00CD7BE3"/>
    <w:rsid w:val="00CE11D6"/>
    <w:rsid w:val="00CE1995"/>
    <w:rsid w:val="00CE5914"/>
    <w:rsid w:val="00CE7A15"/>
    <w:rsid w:val="00CF1110"/>
    <w:rsid w:val="00CF31C2"/>
    <w:rsid w:val="00CF5780"/>
    <w:rsid w:val="00CF6B8F"/>
    <w:rsid w:val="00CF78CD"/>
    <w:rsid w:val="00D03857"/>
    <w:rsid w:val="00D0439A"/>
    <w:rsid w:val="00D101DA"/>
    <w:rsid w:val="00D109E0"/>
    <w:rsid w:val="00D11220"/>
    <w:rsid w:val="00D1376C"/>
    <w:rsid w:val="00D13924"/>
    <w:rsid w:val="00D158A5"/>
    <w:rsid w:val="00D22857"/>
    <w:rsid w:val="00D22879"/>
    <w:rsid w:val="00D235F6"/>
    <w:rsid w:val="00D243D3"/>
    <w:rsid w:val="00D278A5"/>
    <w:rsid w:val="00D30F17"/>
    <w:rsid w:val="00D329A0"/>
    <w:rsid w:val="00D33777"/>
    <w:rsid w:val="00D369D0"/>
    <w:rsid w:val="00D372D9"/>
    <w:rsid w:val="00D42518"/>
    <w:rsid w:val="00D4366A"/>
    <w:rsid w:val="00D4652E"/>
    <w:rsid w:val="00D51AB5"/>
    <w:rsid w:val="00D52C69"/>
    <w:rsid w:val="00D648AD"/>
    <w:rsid w:val="00D655B7"/>
    <w:rsid w:val="00D71BAD"/>
    <w:rsid w:val="00D72C35"/>
    <w:rsid w:val="00D83CC6"/>
    <w:rsid w:val="00D84B34"/>
    <w:rsid w:val="00D85217"/>
    <w:rsid w:val="00D87D0F"/>
    <w:rsid w:val="00D87EB8"/>
    <w:rsid w:val="00D90CD4"/>
    <w:rsid w:val="00D92379"/>
    <w:rsid w:val="00D93F46"/>
    <w:rsid w:val="00D94D7E"/>
    <w:rsid w:val="00DA0900"/>
    <w:rsid w:val="00DA325C"/>
    <w:rsid w:val="00DB0450"/>
    <w:rsid w:val="00DB45EF"/>
    <w:rsid w:val="00DB49EC"/>
    <w:rsid w:val="00DB4CB0"/>
    <w:rsid w:val="00DB5760"/>
    <w:rsid w:val="00DB6E97"/>
    <w:rsid w:val="00DC2426"/>
    <w:rsid w:val="00DC2E9F"/>
    <w:rsid w:val="00DC365E"/>
    <w:rsid w:val="00DC5327"/>
    <w:rsid w:val="00DC579A"/>
    <w:rsid w:val="00DC5C15"/>
    <w:rsid w:val="00DD2077"/>
    <w:rsid w:val="00DF08F3"/>
    <w:rsid w:val="00DF0CD1"/>
    <w:rsid w:val="00DF1676"/>
    <w:rsid w:val="00DF1E37"/>
    <w:rsid w:val="00DF1F00"/>
    <w:rsid w:val="00DF3093"/>
    <w:rsid w:val="00DF6350"/>
    <w:rsid w:val="00DF772C"/>
    <w:rsid w:val="00E01A50"/>
    <w:rsid w:val="00E06C37"/>
    <w:rsid w:val="00E12E9D"/>
    <w:rsid w:val="00E13012"/>
    <w:rsid w:val="00E150F6"/>
    <w:rsid w:val="00E20440"/>
    <w:rsid w:val="00E229D2"/>
    <w:rsid w:val="00E24E1C"/>
    <w:rsid w:val="00E32662"/>
    <w:rsid w:val="00E34F50"/>
    <w:rsid w:val="00E40CC0"/>
    <w:rsid w:val="00E43BA9"/>
    <w:rsid w:val="00E44444"/>
    <w:rsid w:val="00E531AD"/>
    <w:rsid w:val="00E53813"/>
    <w:rsid w:val="00E5581B"/>
    <w:rsid w:val="00E55B75"/>
    <w:rsid w:val="00E57159"/>
    <w:rsid w:val="00E61196"/>
    <w:rsid w:val="00E6359A"/>
    <w:rsid w:val="00E7007F"/>
    <w:rsid w:val="00E71BF6"/>
    <w:rsid w:val="00E72E9B"/>
    <w:rsid w:val="00E76783"/>
    <w:rsid w:val="00E85216"/>
    <w:rsid w:val="00E95518"/>
    <w:rsid w:val="00E962DD"/>
    <w:rsid w:val="00E97C65"/>
    <w:rsid w:val="00E97CD5"/>
    <w:rsid w:val="00EA2796"/>
    <w:rsid w:val="00EA313D"/>
    <w:rsid w:val="00EA4E14"/>
    <w:rsid w:val="00EA6C56"/>
    <w:rsid w:val="00EB2330"/>
    <w:rsid w:val="00EB5D1E"/>
    <w:rsid w:val="00EC21B6"/>
    <w:rsid w:val="00EC3405"/>
    <w:rsid w:val="00EC4B00"/>
    <w:rsid w:val="00EC4ED8"/>
    <w:rsid w:val="00ED03A5"/>
    <w:rsid w:val="00ED750D"/>
    <w:rsid w:val="00EE4823"/>
    <w:rsid w:val="00EE4B76"/>
    <w:rsid w:val="00EF7532"/>
    <w:rsid w:val="00F03DC1"/>
    <w:rsid w:val="00F03FAF"/>
    <w:rsid w:val="00F05C7C"/>
    <w:rsid w:val="00F06DFC"/>
    <w:rsid w:val="00F07F36"/>
    <w:rsid w:val="00F108D7"/>
    <w:rsid w:val="00F13C6A"/>
    <w:rsid w:val="00F223F1"/>
    <w:rsid w:val="00F2379C"/>
    <w:rsid w:val="00F278F0"/>
    <w:rsid w:val="00F2795C"/>
    <w:rsid w:val="00F30977"/>
    <w:rsid w:val="00F30C95"/>
    <w:rsid w:val="00F31D59"/>
    <w:rsid w:val="00F336C1"/>
    <w:rsid w:val="00F341E3"/>
    <w:rsid w:val="00F43859"/>
    <w:rsid w:val="00F445EB"/>
    <w:rsid w:val="00F44F27"/>
    <w:rsid w:val="00F50742"/>
    <w:rsid w:val="00F53218"/>
    <w:rsid w:val="00F5581D"/>
    <w:rsid w:val="00F55ADE"/>
    <w:rsid w:val="00F6258C"/>
    <w:rsid w:val="00F62A24"/>
    <w:rsid w:val="00F62D26"/>
    <w:rsid w:val="00F658FB"/>
    <w:rsid w:val="00F67645"/>
    <w:rsid w:val="00F707E8"/>
    <w:rsid w:val="00F74E1B"/>
    <w:rsid w:val="00F769FB"/>
    <w:rsid w:val="00F82A93"/>
    <w:rsid w:val="00F83708"/>
    <w:rsid w:val="00F84B67"/>
    <w:rsid w:val="00F86EE2"/>
    <w:rsid w:val="00F927F6"/>
    <w:rsid w:val="00F951FF"/>
    <w:rsid w:val="00F961A3"/>
    <w:rsid w:val="00F9648F"/>
    <w:rsid w:val="00F96DAF"/>
    <w:rsid w:val="00FA0C38"/>
    <w:rsid w:val="00FA166D"/>
    <w:rsid w:val="00FA251B"/>
    <w:rsid w:val="00FA3B24"/>
    <w:rsid w:val="00FA3D41"/>
    <w:rsid w:val="00FB09FA"/>
    <w:rsid w:val="00FB0E36"/>
    <w:rsid w:val="00FB1011"/>
    <w:rsid w:val="00FB1981"/>
    <w:rsid w:val="00FB3D04"/>
    <w:rsid w:val="00FB4302"/>
    <w:rsid w:val="00FB6F05"/>
    <w:rsid w:val="00FB76CB"/>
    <w:rsid w:val="00FC1B47"/>
    <w:rsid w:val="00FC5329"/>
    <w:rsid w:val="00FC565F"/>
    <w:rsid w:val="00FC6CAB"/>
    <w:rsid w:val="00FC73E3"/>
    <w:rsid w:val="00FC76AF"/>
    <w:rsid w:val="00FC7B7A"/>
    <w:rsid w:val="00FD043F"/>
    <w:rsid w:val="00FD207B"/>
    <w:rsid w:val="00FD264B"/>
    <w:rsid w:val="00FD2954"/>
    <w:rsid w:val="00FD3F56"/>
    <w:rsid w:val="00FD6DDF"/>
    <w:rsid w:val="00FD73D9"/>
    <w:rsid w:val="00FE52F3"/>
    <w:rsid w:val="00FE5C85"/>
    <w:rsid w:val="00FE5CDC"/>
    <w:rsid w:val="00FE7AB9"/>
    <w:rsid w:val="00FF0EFC"/>
    <w:rsid w:val="00FF2D82"/>
    <w:rsid w:val="00FF3A4E"/>
    <w:rsid w:val="00FF3E66"/>
    <w:rsid w:val="00FF6477"/>
    <w:rsid w:val="0DD57C75"/>
    <w:rsid w:val="12E69F4F"/>
    <w:rsid w:val="147D0E41"/>
    <w:rsid w:val="1A7432D1"/>
    <w:rsid w:val="1C10F619"/>
    <w:rsid w:val="1C7B6541"/>
    <w:rsid w:val="2238D895"/>
    <w:rsid w:val="2238E5F5"/>
    <w:rsid w:val="22EC6560"/>
    <w:rsid w:val="2403BBD4"/>
    <w:rsid w:val="27256B6A"/>
    <w:rsid w:val="3C2B15E4"/>
    <w:rsid w:val="47B7F4FE"/>
    <w:rsid w:val="4916CD43"/>
    <w:rsid w:val="4C11A36C"/>
    <w:rsid w:val="4F6BBE74"/>
    <w:rsid w:val="5081EC02"/>
    <w:rsid w:val="52DD6238"/>
    <w:rsid w:val="5991BFE1"/>
    <w:rsid w:val="5E2E95D4"/>
    <w:rsid w:val="606B3448"/>
    <w:rsid w:val="62725DAC"/>
    <w:rsid w:val="6DC9DED6"/>
    <w:rsid w:val="6EA35812"/>
    <w:rsid w:val="721475FB"/>
    <w:rsid w:val="773098AB"/>
    <w:rsid w:val="7CF9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ED94"/>
  <w15:chartTrackingRefBased/>
  <w15:docId w15:val="{3F2D2199-A162-4BC4-9A2D-829D75DD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6E1"/>
  </w:style>
  <w:style w:type="paragraph" w:styleId="Heading1">
    <w:name w:val="heading 1"/>
    <w:basedOn w:val="Normal"/>
    <w:next w:val="Normal"/>
    <w:link w:val="Heading1Char"/>
    <w:uiPriority w:val="9"/>
    <w:qFormat/>
    <w:rsid w:val="00196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4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3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760"/>
  </w:style>
  <w:style w:type="paragraph" w:styleId="Footer">
    <w:name w:val="footer"/>
    <w:basedOn w:val="Normal"/>
    <w:link w:val="FooterChar"/>
    <w:uiPriority w:val="99"/>
    <w:unhideWhenUsed/>
    <w:rsid w:val="00433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760"/>
  </w:style>
  <w:style w:type="paragraph" w:styleId="FootnoteText">
    <w:name w:val="footnote text"/>
    <w:basedOn w:val="Normal"/>
    <w:link w:val="FootnoteTextChar"/>
    <w:uiPriority w:val="99"/>
    <w:semiHidden/>
    <w:unhideWhenUsed/>
    <w:rsid w:val="007A64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4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6408"/>
    <w:rPr>
      <w:vertAlign w:val="superscript"/>
    </w:rPr>
  </w:style>
  <w:style w:type="table" w:styleId="TableGrid">
    <w:name w:val="Table Grid"/>
    <w:basedOn w:val="TableNormal"/>
    <w:uiPriority w:val="39"/>
    <w:rsid w:val="00AB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83D65"/>
    <w:pPr>
      <w:spacing w:after="0" w:line="240" w:lineRule="auto"/>
    </w:pPr>
    <w:rPr>
      <w:rFonts w:ascii="Poppins Light" w:hAnsi="Poppins Light" w:cs="Times New Roman"/>
      <w:kern w:val="0"/>
      <w:sz w:val="20"/>
      <w:szCs w:val="20"/>
      <w14:ligatures w14:val="none"/>
    </w:rPr>
    <w:tblPr>
      <w:tblStyleRowBandSize w:val="1"/>
      <w:tblCellSpacing w:w="11" w:type="dxa"/>
      <w:tblInd w:w="28" w:type="dxa"/>
      <w:tblCellMar>
        <w:top w:w="28" w:type="dxa"/>
        <w:left w:w="57" w:type="dxa"/>
        <w:right w:w="57" w:type="dxa"/>
      </w:tblCellMar>
    </w:tblPr>
    <w:trPr>
      <w:tblCellSpacing w:w="11" w:type="dxa"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FCBE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EDF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DCE1"/>
      </w:tcPr>
    </w:tblStylePr>
  </w:style>
  <w:style w:type="character" w:styleId="Hyperlink">
    <w:name w:val="Hyperlink"/>
    <w:basedOn w:val="DefaultParagraphFont"/>
    <w:uiPriority w:val="99"/>
    <w:unhideWhenUsed/>
    <w:rsid w:val="008F18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89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25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5261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75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network.healthwatch.co.uk/guidance/2022-11-28/holding-to-account-%E2%80%93-toolki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network.healthwatch.co.uk/imp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watch.co.uk/blog/2024-04-09/our-evidence" TargetMode="External"/><Relationship Id="rId20" Type="http://schemas.openxmlformats.org/officeDocument/2006/relationships/hyperlink" Target="mailto:impact@healthwatch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etwork.healthwatch.co.uk/guidance/2023-08-21/helping-you-your-research-project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4963941ee70edd4bf9e5e3609cf630e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fd4fba8729ed5bc2118ea5ba9b82df3f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ea0902-9823-4d82-a2bf-fd4c8fe457bd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88472-561C-4061-9C22-A72E4878A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6085A-5070-446A-A4A9-63AD3A7DB91E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customXml/itemProps3.xml><?xml version="1.0" encoding="utf-8"?>
<ds:datastoreItem xmlns:ds="http://schemas.openxmlformats.org/officeDocument/2006/customXml" ds:itemID="{899FB5B3-126E-4A10-843B-F2667B5CD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5FECD6-1087-4FDA-96F4-0B8E176DE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Quality Commission</Company>
  <LinksUpToDate>false</LinksUpToDate>
  <CharactersWithSpaces>23771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Turner</dc:creator>
  <cp:keywords/>
  <dc:description/>
  <cp:lastModifiedBy>Jon Turner</cp:lastModifiedBy>
  <cp:revision>124</cp:revision>
  <dcterms:created xsi:type="dcterms:W3CDTF">2024-10-28T20:00:00Z</dcterms:created>
  <dcterms:modified xsi:type="dcterms:W3CDTF">2024-11-26T11:35:00Z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MediaServiceImageTags">
    <vt:lpwstr/>
  </property>
</Properties>
</file>