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00" w:firstRow="0" w:lastRow="0" w:firstColumn="0" w:lastColumn="0" w:noHBand="1" w:noVBand="1"/>
      </w:tblPr>
      <w:tblGrid>
        <w:gridCol w:w="10404"/>
      </w:tblGrid>
      <w:tr w:rsidR="00762252" w:rsidRPr="00762252" w14:paraId="061CAF68" w14:textId="77777777" w:rsidTr="00D95CF1">
        <w:trPr>
          <w:cantSplit/>
          <w:trHeight w:hRule="exact" w:val="9526"/>
        </w:trPr>
        <w:tc>
          <w:tcPr>
            <w:tcW w:w="10518" w:type="dxa"/>
          </w:tcPr>
          <w:p w14:paraId="079BFBEF" w14:textId="612A3865" w:rsidR="00762252" w:rsidRPr="00315FD6" w:rsidRDefault="00C61DB4" w:rsidP="00F85233">
            <w:pPr>
              <w:pStyle w:val="HWMainTitle1"/>
              <w:rPr>
                <w:rFonts w:asciiTheme="minorHAnsi" w:hAnsiTheme="minorHAnsi" w:cstheme="minorHAnsi"/>
              </w:rPr>
            </w:pPr>
            <w:bookmarkStart w:id="0" w:name="HW_title"/>
            <w:r>
              <w:rPr>
                <w:rFonts w:asciiTheme="minorHAnsi" w:hAnsiTheme="minorHAnsi" w:cstheme="minorHAnsi"/>
              </w:rPr>
              <w:t>Making your research inclusive</w:t>
            </w:r>
            <w:r w:rsidR="00F85233" w:rsidRPr="00315FD6">
              <w:rPr>
                <w:rFonts w:asciiTheme="minorHAnsi" w:hAnsiTheme="minorHAnsi" w:cstheme="minorHAnsi"/>
              </w:rPr>
              <w:t xml:space="preserve"> </w:t>
            </w:r>
            <w:bookmarkEnd w:id="0"/>
          </w:p>
        </w:tc>
      </w:tr>
      <w:tr w:rsidR="00762252" w:rsidRPr="00762252" w14:paraId="33E2AB04" w14:textId="77777777" w:rsidTr="00D95CF1">
        <w:trPr>
          <w:cantSplit/>
          <w:trHeight w:hRule="exact" w:val="1077"/>
        </w:trPr>
        <w:tc>
          <w:tcPr>
            <w:tcW w:w="10518" w:type="dxa"/>
          </w:tcPr>
          <w:p w14:paraId="1581E95F" w14:textId="52C2DF85" w:rsidR="00762252" w:rsidRPr="00315FD6" w:rsidRDefault="00C61DB4" w:rsidP="009434AF">
            <w:pPr>
              <w:pStyle w:val="HWMainTitle2"/>
              <w:rPr>
                <w:b/>
                <w:bCs/>
              </w:rPr>
            </w:pPr>
            <w:r>
              <w:rPr>
                <w:b/>
                <w:bCs/>
              </w:rPr>
              <w:t>February 202</w:t>
            </w:r>
            <w:r w:rsidR="00FC3DB9">
              <w:rPr>
                <w:b/>
                <w:bCs/>
              </w:rPr>
              <w:t>6</w:t>
            </w:r>
          </w:p>
        </w:tc>
      </w:tr>
    </w:tbl>
    <w:p w14:paraId="19C79990" w14:textId="77777777" w:rsidR="00762252" w:rsidRPr="00762252" w:rsidRDefault="00D95CF1" w:rsidP="00762252">
      <w:pPr>
        <w:pStyle w:val="HWSpacer"/>
      </w:pPr>
      <w:r w:rsidRPr="00D95CF1">
        <w:rPr>
          <w:noProof/>
          <w:lang w:eastAsia="en-GB"/>
        </w:rPr>
        <w:drawing>
          <wp:anchor distT="0" distB="0" distL="114300" distR="114300" simplePos="0" relativeHeight="251658242" behindDoc="1" locked="1" layoutInCell="1" allowOverlap="1" wp14:anchorId="028B291B" wp14:editId="2FB4B3B9">
            <wp:simplePos x="0" y="0"/>
            <wp:positionH relativeFrom="page">
              <wp:posOffset>3924300</wp:posOffset>
            </wp:positionH>
            <wp:positionV relativeFrom="page">
              <wp:posOffset>200025</wp:posOffset>
            </wp:positionV>
            <wp:extent cx="3343275" cy="914400"/>
            <wp:effectExtent l="0" t="0" r="0" b="0"/>
            <wp:wrapNone/>
            <wp:docPr id="3"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43275" cy="914400"/>
                    </a:xfrm>
                    <a:prstGeom prst="rect">
                      <a:avLst/>
                    </a:prstGeom>
                  </pic:spPr>
                </pic:pic>
              </a:graphicData>
            </a:graphic>
          </wp:anchor>
        </w:drawing>
      </w:r>
      <w:r>
        <w:rPr>
          <w:noProof/>
          <w:lang w:eastAsia="en-GB"/>
        </w:rPr>
        <w:drawing>
          <wp:anchor distT="0" distB="0" distL="114300" distR="114300" simplePos="0" relativeHeight="251658241" behindDoc="1" locked="1" layoutInCell="1" allowOverlap="1" wp14:anchorId="425F7B8E" wp14:editId="6413BBAB">
            <wp:simplePos x="0" y="0"/>
            <wp:positionH relativeFrom="page">
              <wp:posOffset>0</wp:posOffset>
            </wp:positionH>
            <wp:positionV relativeFrom="page">
              <wp:posOffset>0</wp:posOffset>
            </wp:positionV>
            <wp:extent cx="7560310" cy="10693400"/>
            <wp:effectExtent l="19050" t="0" r="2540" b="0"/>
            <wp:wrapNone/>
            <wp:docPr id="4" name="Picture 4" descr="P1031 HWE Brand project - Briefing template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1 HWE Brand project - Briefing template_Cover"/>
                    <pic:cNvPicPr>
                      <a:picLocks noChangeAspect="1" noChangeArrowheads="1"/>
                    </pic:cNvPicPr>
                  </pic:nvPicPr>
                  <pic:blipFill>
                    <a:blip r:embed="rId12" cstate="print"/>
                    <a:srcRect/>
                    <a:stretch>
                      <a:fillRect/>
                    </a:stretch>
                  </pic:blipFill>
                  <pic:spPr bwMode="auto">
                    <a:xfrm>
                      <a:off x="0" y="0"/>
                      <a:ext cx="7560310" cy="10693400"/>
                    </a:xfrm>
                    <a:prstGeom prst="rect">
                      <a:avLst/>
                    </a:prstGeom>
                    <a:noFill/>
                    <a:ln w="9525">
                      <a:noFill/>
                      <a:miter lim="800000"/>
                      <a:headEnd/>
                      <a:tailEnd/>
                    </a:ln>
                  </pic:spPr>
                </pic:pic>
              </a:graphicData>
            </a:graphic>
          </wp:anchor>
        </w:drawing>
      </w:r>
    </w:p>
    <w:p w14:paraId="195AEC60"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502AE827" w14:textId="77777777" w:rsidR="00762252" w:rsidRDefault="00762252" w:rsidP="006F6803">
      <w:pPr>
        <w:pStyle w:val="HWHeading1Non-Contents"/>
      </w:pPr>
      <w:bookmarkStart w:id="1" w:name="_Toc222137102"/>
      <w:r>
        <w:lastRenderedPageBreak/>
        <w:t>Contents</w:t>
      </w:r>
      <w:bookmarkEnd w:id="1"/>
    </w:p>
    <w:p w14:paraId="191912BC" w14:textId="77777777" w:rsidR="0075691B" w:rsidRDefault="0075691B" w:rsidP="00423868">
      <w:pPr>
        <w:pStyle w:val="TOC1"/>
      </w:pPr>
    </w:p>
    <w:p w14:paraId="41C9E8FD" w14:textId="36ED2B2D" w:rsidR="007D6EB7" w:rsidRDefault="00A97BC5">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\h \z \u </w:instrText>
      </w:r>
      <w:r>
        <w:fldChar w:fldCharType="separate"/>
      </w:r>
      <w:hyperlink w:anchor="_Toc222137102" w:history="1">
        <w:r w:rsidR="007D6EB7" w:rsidRPr="006C006E">
          <w:rPr>
            <w:rStyle w:val="Hyperlink"/>
          </w:rPr>
          <w:t>Contents</w:t>
        </w:r>
        <w:r w:rsidR="007D6EB7">
          <w:rPr>
            <w:webHidden/>
          </w:rPr>
          <w:tab/>
        </w:r>
        <w:r w:rsidR="007D6EB7">
          <w:rPr>
            <w:webHidden/>
          </w:rPr>
          <w:fldChar w:fldCharType="begin"/>
        </w:r>
        <w:r w:rsidR="007D6EB7">
          <w:rPr>
            <w:webHidden/>
          </w:rPr>
          <w:instrText xml:space="preserve"> PAGEREF _Toc222137102 \h </w:instrText>
        </w:r>
        <w:r w:rsidR="007D6EB7">
          <w:rPr>
            <w:webHidden/>
          </w:rPr>
        </w:r>
        <w:r w:rsidR="007D6EB7">
          <w:rPr>
            <w:webHidden/>
          </w:rPr>
          <w:fldChar w:fldCharType="separate"/>
        </w:r>
        <w:r w:rsidR="007D6EB7">
          <w:rPr>
            <w:webHidden/>
          </w:rPr>
          <w:t>2</w:t>
        </w:r>
        <w:r w:rsidR="007D6EB7">
          <w:rPr>
            <w:webHidden/>
          </w:rPr>
          <w:fldChar w:fldCharType="end"/>
        </w:r>
      </w:hyperlink>
    </w:p>
    <w:p w14:paraId="79FC1915" w14:textId="23CCCB3F" w:rsidR="007D6EB7" w:rsidRDefault="007D6EB7">
      <w:pPr>
        <w:pStyle w:val="TOC1"/>
        <w:rPr>
          <w:rFonts w:asciiTheme="minorHAnsi" w:eastAsiaTheme="minorEastAsia" w:hAnsiTheme="minorHAnsi" w:cstheme="minorBidi"/>
          <w:b w:val="0"/>
          <w:color w:val="auto"/>
          <w:kern w:val="2"/>
          <w:szCs w:val="24"/>
          <w:lang w:eastAsia="en-GB"/>
          <w14:ligatures w14:val="standardContextual"/>
        </w:rPr>
      </w:pPr>
      <w:hyperlink w:anchor="_Toc222137103" w:history="1">
        <w:r w:rsidRPr="006C006E">
          <w:rPr>
            <w:rStyle w:val="Hyperlink"/>
          </w:rPr>
          <w:t>About this guide</w:t>
        </w:r>
        <w:r>
          <w:rPr>
            <w:webHidden/>
          </w:rPr>
          <w:tab/>
        </w:r>
        <w:r>
          <w:rPr>
            <w:webHidden/>
          </w:rPr>
          <w:fldChar w:fldCharType="begin"/>
        </w:r>
        <w:r>
          <w:rPr>
            <w:webHidden/>
          </w:rPr>
          <w:instrText xml:space="preserve"> PAGEREF _Toc222137103 \h </w:instrText>
        </w:r>
        <w:r>
          <w:rPr>
            <w:webHidden/>
          </w:rPr>
        </w:r>
        <w:r>
          <w:rPr>
            <w:webHidden/>
          </w:rPr>
          <w:fldChar w:fldCharType="separate"/>
        </w:r>
        <w:r>
          <w:rPr>
            <w:webHidden/>
          </w:rPr>
          <w:t>3</w:t>
        </w:r>
        <w:r>
          <w:rPr>
            <w:webHidden/>
          </w:rPr>
          <w:fldChar w:fldCharType="end"/>
        </w:r>
      </w:hyperlink>
    </w:p>
    <w:p w14:paraId="575B3F67" w14:textId="00E878C7" w:rsidR="007D6EB7" w:rsidRDefault="007D6EB7">
      <w:pPr>
        <w:pStyle w:val="TOC1"/>
        <w:rPr>
          <w:rFonts w:asciiTheme="minorHAnsi" w:eastAsiaTheme="minorEastAsia" w:hAnsiTheme="minorHAnsi" w:cstheme="minorBidi"/>
          <w:b w:val="0"/>
          <w:color w:val="auto"/>
          <w:kern w:val="2"/>
          <w:szCs w:val="24"/>
          <w:lang w:eastAsia="en-GB"/>
          <w14:ligatures w14:val="standardContextual"/>
        </w:rPr>
      </w:pPr>
      <w:hyperlink w:anchor="_Toc222137104" w:history="1">
        <w:r w:rsidRPr="006C006E">
          <w:rPr>
            <w:rStyle w:val="Hyperlink"/>
          </w:rPr>
          <w:t>Engaging seldom heard groups</w:t>
        </w:r>
        <w:r>
          <w:rPr>
            <w:webHidden/>
          </w:rPr>
          <w:tab/>
        </w:r>
        <w:r>
          <w:rPr>
            <w:webHidden/>
          </w:rPr>
          <w:fldChar w:fldCharType="begin"/>
        </w:r>
        <w:r>
          <w:rPr>
            <w:webHidden/>
          </w:rPr>
          <w:instrText xml:space="preserve"> PAGEREF _Toc222137104 \h </w:instrText>
        </w:r>
        <w:r>
          <w:rPr>
            <w:webHidden/>
          </w:rPr>
        </w:r>
        <w:r>
          <w:rPr>
            <w:webHidden/>
          </w:rPr>
          <w:fldChar w:fldCharType="separate"/>
        </w:r>
        <w:r>
          <w:rPr>
            <w:webHidden/>
          </w:rPr>
          <w:t>3</w:t>
        </w:r>
        <w:r>
          <w:rPr>
            <w:webHidden/>
          </w:rPr>
          <w:fldChar w:fldCharType="end"/>
        </w:r>
      </w:hyperlink>
    </w:p>
    <w:p w14:paraId="629C2729" w14:textId="26932D18" w:rsidR="007D6EB7" w:rsidRDefault="007D6EB7">
      <w:pPr>
        <w:pStyle w:val="TOC1"/>
        <w:rPr>
          <w:rFonts w:asciiTheme="minorHAnsi" w:eastAsiaTheme="minorEastAsia" w:hAnsiTheme="minorHAnsi" w:cstheme="minorBidi"/>
          <w:b w:val="0"/>
          <w:color w:val="auto"/>
          <w:kern w:val="2"/>
          <w:szCs w:val="24"/>
          <w:lang w:eastAsia="en-GB"/>
          <w14:ligatures w14:val="standardContextual"/>
        </w:rPr>
      </w:pPr>
      <w:hyperlink w:anchor="_Toc222137105" w:history="1">
        <w:r w:rsidRPr="006C006E">
          <w:rPr>
            <w:rStyle w:val="Hyperlink"/>
          </w:rPr>
          <w:t>Why you should engage with diverse groups in your community</w:t>
        </w:r>
        <w:r>
          <w:rPr>
            <w:webHidden/>
          </w:rPr>
          <w:tab/>
        </w:r>
        <w:r>
          <w:rPr>
            <w:webHidden/>
          </w:rPr>
          <w:fldChar w:fldCharType="begin"/>
        </w:r>
        <w:r>
          <w:rPr>
            <w:webHidden/>
          </w:rPr>
          <w:instrText xml:space="preserve"> PAGEREF _Toc222137105 \h </w:instrText>
        </w:r>
        <w:r>
          <w:rPr>
            <w:webHidden/>
          </w:rPr>
        </w:r>
        <w:r>
          <w:rPr>
            <w:webHidden/>
          </w:rPr>
          <w:fldChar w:fldCharType="separate"/>
        </w:r>
        <w:r>
          <w:rPr>
            <w:webHidden/>
          </w:rPr>
          <w:t>4</w:t>
        </w:r>
        <w:r>
          <w:rPr>
            <w:webHidden/>
          </w:rPr>
          <w:fldChar w:fldCharType="end"/>
        </w:r>
      </w:hyperlink>
    </w:p>
    <w:p w14:paraId="1B973A72" w14:textId="626AE5AD" w:rsidR="007D6EB7" w:rsidRDefault="007D6EB7">
      <w:pPr>
        <w:pStyle w:val="TOC1"/>
        <w:rPr>
          <w:rFonts w:asciiTheme="minorHAnsi" w:eastAsiaTheme="minorEastAsia" w:hAnsiTheme="minorHAnsi" w:cstheme="minorBidi"/>
          <w:b w:val="0"/>
          <w:color w:val="auto"/>
          <w:kern w:val="2"/>
          <w:szCs w:val="24"/>
          <w:lang w:eastAsia="en-GB"/>
          <w14:ligatures w14:val="standardContextual"/>
        </w:rPr>
      </w:pPr>
      <w:hyperlink w:anchor="_Toc222137106" w:history="1">
        <w:r w:rsidRPr="006C006E">
          <w:rPr>
            <w:rStyle w:val="Hyperlink"/>
          </w:rPr>
          <w:t>How to go about engaging with diverse communities</w:t>
        </w:r>
        <w:r>
          <w:rPr>
            <w:webHidden/>
          </w:rPr>
          <w:tab/>
        </w:r>
        <w:r>
          <w:rPr>
            <w:webHidden/>
          </w:rPr>
          <w:fldChar w:fldCharType="begin"/>
        </w:r>
        <w:r>
          <w:rPr>
            <w:webHidden/>
          </w:rPr>
          <w:instrText xml:space="preserve"> PAGEREF _Toc222137106 \h </w:instrText>
        </w:r>
        <w:r>
          <w:rPr>
            <w:webHidden/>
          </w:rPr>
        </w:r>
        <w:r>
          <w:rPr>
            <w:webHidden/>
          </w:rPr>
          <w:fldChar w:fldCharType="separate"/>
        </w:r>
        <w:r>
          <w:rPr>
            <w:webHidden/>
          </w:rPr>
          <w:t>4</w:t>
        </w:r>
        <w:r>
          <w:rPr>
            <w:webHidden/>
          </w:rPr>
          <w:fldChar w:fldCharType="end"/>
        </w:r>
      </w:hyperlink>
    </w:p>
    <w:p w14:paraId="13A9E622" w14:textId="48185028" w:rsidR="007D6EB7" w:rsidRDefault="007D6EB7">
      <w:pPr>
        <w:pStyle w:val="TOC1"/>
        <w:rPr>
          <w:rFonts w:asciiTheme="minorHAnsi" w:eastAsiaTheme="minorEastAsia" w:hAnsiTheme="minorHAnsi" w:cstheme="minorBidi"/>
          <w:b w:val="0"/>
          <w:color w:val="auto"/>
          <w:kern w:val="2"/>
          <w:szCs w:val="24"/>
          <w:lang w:eastAsia="en-GB"/>
          <w14:ligatures w14:val="standardContextual"/>
        </w:rPr>
      </w:pPr>
      <w:hyperlink w:anchor="_Toc222137107" w:history="1">
        <w:r w:rsidRPr="006C006E">
          <w:rPr>
            <w:rStyle w:val="Hyperlink"/>
          </w:rPr>
          <w:t>Further reading</w:t>
        </w:r>
        <w:r>
          <w:rPr>
            <w:webHidden/>
          </w:rPr>
          <w:tab/>
        </w:r>
        <w:r>
          <w:rPr>
            <w:webHidden/>
          </w:rPr>
          <w:fldChar w:fldCharType="begin"/>
        </w:r>
        <w:r>
          <w:rPr>
            <w:webHidden/>
          </w:rPr>
          <w:instrText xml:space="preserve"> PAGEREF _Toc222137107 \h </w:instrText>
        </w:r>
        <w:r>
          <w:rPr>
            <w:webHidden/>
          </w:rPr>
        </w:r>
        <w:r>
          <w:rPr>
            <w:webHidden/>
          </w:rPr>
          <w:fldChar w:fldCharType="separate"/>
        </w:r>
        <w:r>
          <w:rPr>
            <w:webHidden/>
          </w:rPr>
          <w:t>7</w:t>
        </w:r>
        <w:r>
          <w:rPr>
            <w:webHidden/>
          </w:rPr>
          <w:fldChar w:fldCharType="end"/>
        </w:r>
      </w:hyperlink>
    </w:p>
    <w:p w14:paraId="26E7B7F9" w14:textId="77EE5B19" w:rsidR="00762252" w:rsidRDefault="00A97BC5" w:rsidP="00762252">
      <w:pPr>
        <w:pStyle w:val="HWNormalText"/>
      </w:pPr>
      <w:r>
        <w:rPr>
          <w:noProof/>
          <w:color w:val="004C6B" w:themeColor="text1"/>
          <w:spacing w:val="0"/>
        </w:rPr>
        <w:fldChar w:fldCharType="end"/>
      </w:r>
    </w:p>
    <w:p w14:paraId="228989E0" w14:textId="77777777" w:rsidR="00762252" w:rsidRDefault="00762252" w:rsidP="00762252">
      <w:pPr>
        <w:pStyle w:val="HWNormalText"/>
      </w:pPr>
    </w:p>
    <w:p w14:paraId="686EF594" w14:textId="60EC5CB3" w:rsidR="00C61DB4" w:rsidRDefault="00762252" w:rsidP="00C61DB4">
      <w:pPr>
        <w:pStyle w:val="HWNormalText"/>
      </w:pPr>
      <w:r w:rsidRPr="00762252">
        <w:br w:type="page"/>
      </w:r>
    </w:p>
    <w:p w14:paraId="539F4CC5" w14:textId="77777777" w:rsidR="00C61DB4" w:rsidRDefault="00C61DB4" w:rsidP="00D0556C">
      <w:pPr>
        <w:pStyle w:val="HWHeading1"/>
      </w:pPr>
      <w:bookmarkStart w:id="2" w:name="_Toc222137103"/>
      <w:r>
        <w:lastRenderedPageBreak/>
        <w:t>About this guide</w:t>
      </w:r>
      <w:bookmarkEnd w:id="2"/>
    </w:p>
    <w:p w14:paraId="08983081" w14:textId="4793C972" w:rsidR="00B83E81" w:rsidRDefault="00B83E81" w:rsidP="00C61DB4">
      <w:pPr>
        <w:pStyle w:val="HWNormalText"/>
      </w:pPr>
      <w:r w:rsidRPr="00B83E81">
        <w:t xml:space="preserve">The </w:t>
      </w:r>
      <w:hyperlink r:id="rId15" w:history="1">
        <w:r w:rsidRPr="00141A21">
          <w:rPr>
            <w:rStyle w:val="Hyperlink"/>
          </w:rPr>
          <w:t>legislation that established Healthwatch</w:t>
        </w:r>
      </w:hyperlink>
      <w:r w:rsidRPr="00B83E81">
        <w:t xml:space="preserve"> requires us to speak to local people about their experiences of health and social care services. To do this well, we need to hear from our communities in all their diversity. This means our research must be inclusive; we must speak to people from all the groups in our communities.</w:t>
      </w:r>
    </w:p>
    <w:p w14:paraId="0BDA8ECD" w14:textId="77777777" w:rsidR="006E15AE" w:rsidRDefault="006E15AE" w:rsidP="006E15AE">
      <w:pPr>
        <w:pStyle w:val="HWNormalText"/>
        <w:rPr>
          <w:b/>
          <w:bCs/>
        </w:rPr>
      </w:pPr>
      <w:bookmarkStart w:id="3" w:name="_Toc222137104"/>
      <w:r w:rsidRPr="006E15AE">
        <w:t xml:space="preserve">This guide will support you in engaging seldom-heard groups with general guidance and tips on how to do so. </w:t>
      </w:r>
    </w:p>
    <w:p w14:paraId="139F5C6A" w14:textId="6B1B2801" w:rsidR="00C61DB4" w:rsidRDefault="00C61DB4" w:rsidP="00D0556C">
      <w:pPr>
        <w:pStyle w:val="HWHeading1"/>
      </w:pPr>
      <w:r>
        <w:t>Engaging seldom heard groups</w:t>
      </w:r>
      <w:bookmarkEnd w:id="3"/>
    </w:p>
    <w:p w14:paraId="63A8FCF6" w14:textId="108A4171" w:rsidR="00C61DB4" w:rsidRDefault="00C61DB4" w:rsidP="00C61DB4">
      <w:pPr>
        <w:pStyle w:val="HWNormalText"/>
      </w:pPr>
      <w:r>
        <w:t xml:space="preserve">The term ‘seldom heard’ refers to under-represented people who are less likely to be heard by health service professionals and decision makers. It is the responsibility of Healthwatch to reach out to excluded people, ensuring that they have access to health and social care </w:t>
      </w:r>
      <w:r w:rsidR="00F20C00">
        <w:t>s</w:t>
      </w:r>
      <w:r>
        <w:t>ervices and that their voices are heard.</w:t>
      </w:r>
    </w:p>
    <w:p w14:paraId="64FD5AE2" w14:textId="77777777" w:rsidR="00C61DB4" w:rsidRDefault="00C61DB4" w:rsidP="00C61DB4">
      <w:pPr>
        <w:pStyle w:val="HWNormalText"/>
      </w:pPr>
      <w:r>
        <w:t xml:space="preserve">Examples of seldom heard groups could include: </w:t>
      </w:r>
    </w:p>
    <w:p w14:paraId="6694710F" w14:textId="00925865" w:rsidR="00C61DB4" w:rsidRDefault="00C61DB4" w:rsidP="00D0556C">
      <w:pPr>
        <w:pStyle w:val="HWBullets"/>
      </w:pPr>
      <w:r>
        <w:t>Specific ethnic minority groups</w:t>
      </w:r>
    </w:p>
    <w:p w14:paraId="67C227EF" w14:textId="3DB043D4" w:rsidR="00C61DB4" w:rsidRDefault="00C61DB4" w:rsidP="00D0556C">
      <w:pPr>
        <w:pStyle w:val="HWBullets"/>
      </w:pPr>
      <w:r>
        <w:t>Carers</w:t>
      </w:r>
    </w:p>
    <w:p w14:paraId="1E82F3B6" w14:textId="2492184A" w:rsidR="00C61DB4" w:rsidRDefault="00C61DB4" w:rsidP="00D0556C">
      <w:pPr>
        <w:pStyle w:val="HWBullets"/>
      </w:pPr>
      <w:r>
        <w:t>Disabled people</w:t>
      </w:r>
    </w:p>
    <w:p w14:paraId="20CC5892" w14:textId="75221559" w:rsidR="00C61DB4" w:rsidRDefault="00C61DB4" w:rsidP="00D0556C">
      <w:pPr>
        <w:pStyle w:val="HWBullets"/>
      </w:pPr>
      <w:r>
        <w:t>Lesbian, gay, bisexual, transgender and queer people</w:t>
      </w:r>
    </w:p>
    <w:p w14:paraId="7C08BFA0" w14:textId="0958A144" w:rsidR="00DC6630" w:rsidRDefault="00DC6630" w:rsidP="00D0556C">
      <w:pPr>
        <w:pStyle w:val="HWBullets"/>
      </w:pPr>
      <w:r>
        <w:t>People on low incomes or who live in deprived areas</w:t>
      </w:r>
    </w:p>
    <w:p w14:paraId="5A6EAF81" w14:textId="29E50711" w:rsidR="00C61DB4" w:rsidRDefault="00C61DB4" w:rsidP="00D0556C">
      <w:pPr>
        <w:pStyle w:val="HWBullets"/>
      </w:pPr>
      <w:r>
        <w:t>Refugees/asylum seekers</w:t>
      </w:r>
    </w:p>
    <w:p w14:paraId="634FD93A" w14:textId="6CC41840" w:rsidR="00C61DB4" w:rsidRDefault="00C61DB4" w:rsidP="00D0556C">
      <w:pPr>
        <w:pStyle w:val="HWBullets"/>
      </w:pPr>
      <w:r>
        <w:t>People experiencing homelessness</w:t>
      </w:r>
    </w:p>
    <w:p w14:paraId="094D7F75" w14:textId="60F8C079" w:rsidR="00C61DB4" w:rsidRDefault="00C61DB4" w:rsidP="00D0556C">
      <w:pPr>
        <w:pStyle w:val="HWBullets"/>
      </w:pPr>
      <w:r>
        <w:t>Young people</w:t>
      </w:r>
    </w:p>
    <w:p w14:paraId="7D1F68DE" w14:textId="1BE7C2CE" w:rsidR="00C61DB4" w:rsidRDefault="00C61DB4" w:rsidP="00D0556C">
      <w:pPr>
        <w:pStyle w:val="HWBullets"/>
      </w:pPr>
      <w:r>
        <w:t>People experiencing language barriers</w:t>
      </w:r>
    </w:p>
    <w:p w14:paraId="390703C9" w14:textId="339081D0" w:rsidR="00C61DB4" w:rsidRDefault="00C61DB4" w:rsidP="00D0556C">
      <w:pPr>
        <w:pStyle w:val="HWBullets"/>
      </w:pPr>
      <w:r>
        <w:t>Veterans and military families</w:t>
      </w:r>
    </w:p>
    <w:p w14:paraId="5D2908AA" w14:textId="6B1A9727" w:rsidR="00C61DB4" w:rsidRDefault="00C61DB4" w:rsidP="00D0556C">
      <w:pPr>
        <w:pStyle w:val="HWBullets"/>
      </w:pPr>
      <w:r>
        <w:t>People who live on boats</w:t>
      </w:r>
    </w:p>
    <w:p w14:paraId="0A3E4903" w14:textId="1B57239D" w:rsidR="00C61DB4" w:rsidRDefault="00C61DB4" w:rsidP="00D0556C">
      <w:pPr>
        <w:pStyle w:val="HWBullets"/>
      </w:pPr>
      <w:r>
        <w:t>Gypsy and Traveller communities</w:t>
      </w:r>
    </w:p>
    <w:p w14:paraId="1283B71C" w14:textId="44575B89" w:rsidR="00C61DB4" w:rsidRDefault="00C61DB4" w:rsidP="00D0556C">
      <w:pPr>
        <w:pStyle w:val="HWBullets"/>
      </w:pPr>
      <w:r>
        <w:t>Farming communities</w:t>
      </w:r>
    </w:p>
    <w:p w14:paraId="6214576E" w14:textId="77777777" w:rsidR="00C61DB4" w:rsidRDefault="00C61DB4" w:rsidP="00C61DB4">
      <w:pPr>
        <w:pStyle w:val="HWNormalText"/>
      </w:pPr>
      <w:r>
        <w:lastRenderedPageBreak/>
        <w:t xml:space="preserve"> </w:t>
      </w:r>
    </w:p>
    <w:p w14:paraId="416B01E2" w14:textId="4F02B618" w:rsidR="00C61DB4" w:rsidRDefault="00C61DB4" w:rsidP="00C61DB4">
      <w:pPr>
        <w:pStyle w:val="HWNormalText"/>
      </w:pPr>
      <w:r>
        <w:t xml:space="preserve">For the purposes of Healthwatch research, we should aim to engage with anyone who is under-served and be aware that these people may have </w:t>
      </w:r>
      <w:proofErr w:type="gramStart"/>
      <w:r>
        <w:t>particular needs</w:t>
      </w:r>
      <w:proofErr w:type="gramEnd"/>
      <w:r>
        <w:t xml:space="preserve"> when participating.</w:t>
      </w:r>
    </w:p>
    <w:p w14:paraId="41341CA9" w14:textId="7982E01B" w:rsidR="00C61DB4" w:rsidRDefault="00C61DB4" w:rsidP="002A0C48">
      <w:pPr>
        <w:pStyle w:val="HWHeading1"/>
      </w:pPr>
      <w:bookmarkStart w:id="4" w:name="_Toc222137105"/>
      <w:r>
        <w:t xml:space="preserve">Why </w:t>
      </w:r>
      <w:r w:rsidR="00702F38">
        <w:t>you should</w:t>
      </w:r>
      <w:r>
        <w:t xml:space="preserve"> engag</w:t>
      </w:r>
      <w:r w:rsidR="00702F38">
        <w:t>e with</w:t>
      </w:r>
      <w:r>
        <w:t xml:space="preserve"> diverse groups in your community</w:t>
      </w:r>
      <w:bookmarkEnd w:id="4"/>
    </w:p>
    <w:p w14:paraId="073C45E8" w14:textId="77777777" w:rsidR="00C61DB4" w:rsidRDefault="00C61DB4" w:rsidP="00C61DB4">
      <w:pPr>
        <w:pStyle w:val="HWNormalText"/>
      </w:pPr>
      <w:r>
        <w:t>Engaging with the wide range of people that make up our local communities is essential for Healthwatch to ensure health and social care services provide the right care for everyone.</w:t>
      </w:r>
    </w:p>
    <w:p w14:paraId="2E5285D6" w14:textId="51459A4A" w:rsidR="00C61DB4" w:rsidRDefault="00C61DB4" w:rsidP="00C61DB4">
      <w:pPr>
        <w:pStyle w:val="HWNormalText"/>
      </w:pPr>
      <w:r>
        <w:t xml:space="preserve">Healthwatch is subject to the Public Sector Equality Duty </w:t>
      </w:r>
      <w:r w:rsidR="00BF16CB">
        <w:t>under</w:t>
      </w:r>
      <w:r>
        <w:t xml:space="preserve"> the Equality Act (2010).  This requires public bodies to have due regard to the need to eliminate discrimination, advance equality of opportunity and foster good relations between different people when carrying out activities. Therefore, we need to consider how best to engage with diverse communities and improve the data that we collect on equality issues.</w:t>
      </w:r>
    </w:p>
    <w:p w14:paraId="2EE53132" w14:textId="010B7EC3" w:rsidR="00C61DB4" w:rsidRDefault="00ED4B12" w:rsidP="002A0C48">
      <w:pPr>
        <w:pStyle w:val="HWHeading1"/>
      </w:pPr>
      <w:bookmarkStart w:id="5" w:name="_Toc222137106"/>
      <w:r>
        <w:t>How to go about engaging with diverse communities</w:t>
      </w:r>
      <w:bookmarkEnd w:id="5"/>
    </w:p>
    <w:p w14:paraId="299D0576" w14:textId="77777777" w:rsidR="00C61DB4" w:rsidRDefault="00C61DB4" w:rsidP="00C61DB4">
      <w:pPr>
        <w:pStyle w:val="HWNormalText"/>
      </w:pPr>
      <w:r>
        <w:t>Here are some questions you can ask yourself, the answers to which should help you engage with a diverse range of groups in your community.</w:t>
      </w:r>
    </w:p>
    <w:p w14:paraId="07E73F7C" w14:textId="77777777" w:rsidR="00C61DB4" w:rsidRDefault="00C61DB4" w:rsidP="00024421">
      <w:pPr>
        <w:pStyle w:val="HWHeading2"/>
      </w:pPr>
      <w:r>
        <w:lastRenderedPageBreak/>
        <w:t>Who makes up your local community?</w:t>
      </w:r>
    </w:p>
    <w:p w14:paraId="15BCC302" w14:textId="77777777" w:rsidR="001904A3" w:rsidRDefault="001904A3" w:rsidP="001904A3">
      <w:pPr>
        <w:pStyle w:val="HWNormalText"/>
        <w:rPr>
          <w:b/>
          <w:bCs/>
        </w:rPr>
      </w:pPr>
      <w:r w:rsidRPr="001904A3">
        <w:t>Accessing local-level population data is a great starting point for understanding your local community's makeup. You can use the latest census data and population data from the ONS or other local government sources to help you.</w:t>
      </w:r>
    </w:p>
    <w:p w14:paraId="0A7AD742" w14:textId="4570DC35" w:rsidR="00C61DB4" w:rsidRDefault="00C61DB4" w:rsidP="00024421">
      <w:pPr>
        <w:pStyle w:val="HWHeading2"/>
      </w:pPr>
      <w:r>
        <w:t>Who is and isn’t represented in the feedback you collect?</w:t>
      </w:r>
    </w:p>
    <w:p w14:paraId="25A0BD2B" w14:textId="77777777" w:rsidR="00C61DB4" w:rsidRDefault="00C61DB4" w:rsidP="00C61DB4">
      <w:pPr>
        <w:pStyle w:val="HWNormalText"/>
      </w:pPr>
      <w:r>
        <w:t>Mapping the people or groups from whom you have received feedback against your local population data can help you identify any groups that you don’t hear from enough. You can then target your engagement to fill these gaps.</w:t>
      </w:r>
    </w:p>
    <w:p w14:paraId="2285EB52" w14:textId="77777777" w:rsidR="00C61DB4" w:rsidRDefault="00C61DB4" w:rsidP="00C61DB4">
      <w:pPr>
        <w:pStyle w:val="HWNormalText"/>
      </w:pPr>
      <w:r>
        <w:t xml:space="preserve">This can also help you identify different locations where you can engage with </w:t>
      </w:r>
      <w:proofErr w:type="gramStart"/>
      <w:r>
        <w:t>particular groups</w:t>
      </w:r>
      <w:proofErr w:type="gramEnd"/>
      <w:r>
        <w:t xml:space="preserve"> of people, such as community centres or other meeting places.</w:t>
      </w:r>
    </w:p>
    <w:p w14:paraId="06A17452" w14:textId="6FAE48F2" w:rsidR="00C61DB4" w:rsidRDefault="00C61DB4" w:rsidP="00C61DB4">
      <w:pPr>
        <w:pStyle w:val="HWNormalText"/>
      </w:pPr>
      <w:r>
        <w:t>You may also want to contact your local council to identify and engage with diverse population</w:t>
      </w:r>
      <w:r w:rsidR="00C60495">
        <w:t>s</w:t>
      </w:r>
      <w:r>
        <w:t>.</w:t>
      </w:r>
    </w:p>
    <w:p w14:paraId="7AF824DC" w14:textId="77777777" w:rsidR="00C61DB4" w:rsidRDefault="00C61DB4" w:rsidP="00024421">
      <w:pPr>
        <w:pStyle w:val="HWHeading2"/>
      </w:pPr>
      <w:r>
        <w:t>Are there any existing community or voluntary groups with whom you can collaborate?</w:t>
      </w:r>
    </w:p>
    <w:p w14:paraId="1CAAF92B" w14:textId="2BE7C532" w:rsidR="00C61DB4" w:rsidRDefault="00C61DB4" w:rsidP="00C61DB4">
      <w:pPr>
        <w:pStyle w:val="HWNormalText"/>
      </w:pPr>
      <w:r>
        <w:t xml:space="preserve">It is useful to note any local community organisations that may help you engage groups in your community </w:t>
      </w:r>
      <w:r w:rsidR="00973A41">
        <w:t>that</w:t>
      </w:r>
      <w:r>
        <w:t xml:space="preserve"> you</w:t>
      </w:r>
      <w:r w:rsidR="00973A41">
        <w:t xml:space="preserve"> would</w:t>
      </w:r>
      <w:r>
        <w:t xml:space="preserve"> otherwise struggle to engage. Developing partnerships takes time but can provide a valuable network of organisations and groups.</w:t>
      </w:r>
    </w:p>
    <w:p w14:paraId="6625BA2A" w14:textId="505756AB" w:rsidR="00C61DB4" w:rsidRDefault="00C61DB4" w:rsidP="00C61DB4">
      <w:pPr>
        <w:pStyle w:val="HWNormalText"/>
      </w:pPr>
      <w:r>
        <w:t xml:space="preserve">Local universities and student organisations can also be </w:t>
      </w:r>
      <w:r w:rsidR="003D00D2">
        <w:t>valuable</w:t>
      </w:r>
      <w:r>
        <w:t xml:space="preserve"> contacts. Students and teaching staff may be willing to volunteer, help Healthwatch engage with </w:t>
      </w:r>
      <w:proofErr w:type="gramStart"/>
      <w:r>
        <w:t>particular groups</w:t>
      </w:r>
      <w:proofErr w:type="gramEnd"/>
      <w:r>
        <w:t xml:space="preserve"> or people, or share some of their research experience and expertise.</w:t>
      </w:r>
    </w:p>
    <w:p w14:paraId="5063CB67" w14:textId="4B89935B" w:rsidR="00C61DB4" w:rsidRDefault="00C61DB4" w:rsidP="00C61DB4">
      <w:pPr>
        <w:pStyle w:val="HWNormalText"/>
      </w:pPr>
      <w:r>
        <w:t xml:space="preserve">For more information, see our </w:t>
      </w:r>
      <w:hyperlink r:id="rId16" w:history="1">
        <w:r w:rsidRPr="00C03AD2">
          <w:rPr>
            <w:rStyle w:val="Hyperlink"/>
          </w:rPr>
          <w:t>guidance on working with partners.</w:t>
        </w:r>
      </w:hyperlink>
    </w:p>
    <w:p w14:paraId="1F7F08B5" w14:textId="486CA2C7" w:rsidR="00C61DB4" w:rsidRDefault="00C61DB4" w:rsidP="00EC59B2">
      <w:pPr>
        <w:pStyle w:val="HWHeading2"/>
      </w:pPr>
      <w:r>
        <w:t>Can you build partnership</w:t>
      </w:r>
      <w:r w:rsidR="00EC59B2">
        <w:t>s</w:t>
      </w:r>
      <w:r>
        <w:t xml:space="preserve"> outside of health and social care?</w:t>
      </w:r>
    </w:p>
    <w:p w14:paraId="677DDCDF" w14:textId="39859666" w:rsidR="00C61DB4" w:rsidRDefault="00C61DB4" w:rsidP="00C61DB4">
      <w:pPr>
        <w:pStyle w:val="HWNormalText"/>
      </w:pPr>
      <w:r>
        <w:t xml:space="preserve">Building relationships also helps to build trust between different communities and Healthwatch. This makes it easier to find participants for research projects. </w:t>
      </w:r>
      <w:r w:rsidR="00025FC6" w:rsidRPr="00025FC6">
        <w:t>Before engaging with a local community, you should research the best way to contact people. For example, searching for community Facebook groups</w:t>
      </w:r>
      <w:r>
        <w:t>.</w:t>
      </w:r>
    </w:p>
    <w:p w14:paraId="628F3E09" w14:textId="77777777" w:rsidR="00C61DB4" w:rsidRDefault="00C61DB4" w:rsidP="00C61DB4">
      <w:pPr>
        <w:pStyle w:val="HWNormalText"/>
      </w:pPr>
      <w:r>
        <w:t>You should also consider how you can build partnerships with organisations outside health and social care. For example, local football clubs may be linked into networks through which they can get surveys or information to people who would not usually engage with Healthwatch research.</w:t>
      </w:r>
    </w:p>
    <w:p w14:paraId="21FE2E21" w14:textId="77777777" w:rsidR="00522FA7" w:rsidRDefault="00522FA7" w:rsidP="00522FA7">
      <w:pPr>
        <w:pStyle w:val="HWNormalText"/>
        <w:rPr>
          <w:b/>
          <w:bCs/>
        </w:rPr>
      </w:pPr>
      <w:r w:rsidRPr="00522FA7">
        <w:t xml:space="preserve">Local businesses can also be useful partners. Smaller businesses may be well-linked into </w:t>
      </w:r>
      <w:proofErr w:type="gramStart"/>
      <w:r w:rsidRPr="00522FA7">
        <w:t>particular communities</w:t>
      </w:r>
      <w:proofErr w:type="gramEnd"/>
      <w:r w:rsidRPr="00522FA7">
        <w:t xml:space="preserve"> or groups of </w:t>
      </w:r>
      <w:proofErr w:type="gramStart"/>
      <w:r w:rsidRPr="00522FA7">
        <w:t>people, and</w:t>
      </w:r>
      <w:proofErr w:type="gramEnd"/>
      <w:r w:rsidRPr="00522FA7">
        <w:t xml:space="preserve"> therefore help you </w:t>
      </w:r>
      <w:r w:rsidRPr="00522FA7">
        <w:lastRenderedPageBreak/>
        <w:t xml:space="preserve">access and engage these people. Larger businesses employ a lot of local </w:t>
      </w:r>
      <w:proofErr w:type="gramStart"/>
      <w:r w:rsidRPr="00522FA7">
        <w:t>people, and</w:t>
      </w:r>
      <w:proofErr w:type="gramEnd"/>
      <w:r w:rsidRPr="00522FA7">
        <w:t xml:space="preserve"> therefore can help you access a much larger number of people than you can alone.</w:t>
      </w:r>
    </w:p>
    <w:p w14:paraId="7461A6CB" w14:textId="32BD449E" w:rsidR="00C61DB4" w:rsidRDefault="00C61DB4" w:rsidP="00EC59B2">
      <w:pPr>
        <w:pStyle w:val="HWHeading2"/>
      </w:pPr>
      <w:r>
        <w:t>Do your staff and volunteers reflect your local community?</w:t>
      </w:r>
    </w:p>
    <w:p w14:paraId="6148A38B" w14:textId="3416FA5C" w:rsidR="00C61DB4" w:rsidRDefault="00C61DB4" w:rsidP="00C61DB4">
      <w:pPr>
        <w:pStyle w:val="HWNormalText"/>
      </w:pPr>
      <w:r>
        <w:t>If your staff and volunteers reflect your local community</w:t>
      </w:r>
      <w:r w:rsidR="00522FA7">
        <w:t>,</w:t>
      </w:r>
      <w:r>
        <w:t xml:space="preserve"> it can make it much easier to engage a diverse range of people. If staff and volunteers have existing links to </w:t>
      </w:r>
      <w:proofErr w:type="gramStart"/>
      <w:r>
        <w:t>particular community</w:t>
      </w:r>
      <w:proofErr w:type="gramEnd"/>
      <w:r>
        <w:t xml:space="preserve"> groups, it makes it much more likely </w:t>
      </w:r>
      <w:r w:rsidR="006A27FA">
        <w:t xml:space="preserve">that </w:t>
      </w:r>
      <w:r>
        <w:t xml:space="preserve">you will be able to engage people from those groups. This is particularly the case </w:t>
      </w:r>
      <w:r w:rsidR="00DE50F2">
        <w:t xml:space="preserve">if </w:t>
      </w:r>
      <w:r>
        <w:t>you have a staff member of volunteer who can speak a language spoken locally.</w:t>
      </w:r>
    </w:p>
    <w:p w14:paraId="58A2B51E" w14:textId="77777777" w:rsidR="00E61D68" w:rsidRDefault="00E61D68" w:rsidP="00C61DB4">
      <w:pPr>
        <w:pStyle w:val="HWNormalText"/>
      </w:pPr>
      <w:r w:rsidRPr="00E61D68">
        <w:t xml:space="preserve">If you feel your staff and volunteers do not reflect your local community, consider how you can address this going forward. For example, you could focus volunteer recruitment on </w:t>
      </w:r>
      <w:proofErr w:type="gramStart"/>
      <w:r w:rsidRPr="00E61D68">
        <w:t>particular communities</w:t>
      </w:r>
      <w:proofErr w:type="gramEnd"/>
      <w:r w:rsidRPr="00E61D68">
        <w:t xml:space="preserve"> or people with specific characteristics.</w:t>
      </w:r>
    </w:p>
    <w:p w14:paraId="1846465C" w14:textId="482543B1" w:rsidR="00C61DB4" w:rsidRDefault="00C61DB4" w:rsidP="00C61DB4">
      <w:pPr>
        <w:pStyle w:val="HWNormalText"/>
      </w:pPr>
      <w:r>
        <w:t xml:space="preserve">In some instances, Healthwatch have developed a community researcher model. This involves training and upskilling community members to conduct research themselves. </w:t>
      </w:r>
      <w:r w:rsidR="007D6EB7">
        <w:t xml:space="preserve">You can read more about this </w:t>
      </w:r>
      <w:hyperlink r:id="rId17" w:history="1">
        <w:r w:rsidR="007D6EB7" w:rsidRPr="007D6EB7">
          <w:rPr>
            <w:rStyle w:val="Hyperlink"/>
          </w:rPr>
          <w:t>here</w:t>
        </w:r>
      </w:hyperlink>
      <w:r w:rsidR="007D6EB7">
        <w:t>.</w:t>
      </w:r>
    </w:p>
    <w:p w14:paraId="5B0608B8" w14:textId="77777777" w:rsidR="00C61DB4" w:rsidRDefault="00C61DB4" w:rsidP="00EC59B2">
      <w:pPr>
        <w:pStyle w:val="HWHeading2"/>
      </w:pPr>
      <w:r>
        <w:t>How can you build trust with seldom heard groups?</w:t>
      </w:r>
    </w:p>
    <w:p w14:paraId="681592E6" w14:textId="77777777" w:rsidR="00FC5F32" w:rsidRDefault="00FC5F32" w:rsidP="00C61DB4">
      <w:pPr>
        <w:pStyle w:val="HWNormalText"/>
      </w:pPr>
      <w:r w:rsidRPr="00FC5F32">
        <w:t>It can take time to develop working relationships and build trust with communities, but it is essential to do so.</w:t>
      </w:r>
    </w:p>
    <w:p w14:paraId="5CF869F1" w14:textId="5A4A7122" w:rsidR="00C61DB4" w:rsidRDefault="00C61DB4" w:rsidP="00C61DB4">
      <w:pPr>
        <w:pStyle w:val="HWNormalText"/>
      </w:pPr>
      <w:r>
        <w:t xml:space="preserve">One of the best ways to build trust is to reassure people that Healthwatch does not solely collect data but can </w:t>
      </w:r>
      <w:r w:rsidR="00303C5D">
        <w:t xml:space="preserve">also </w:t>
      </w:r>
      <w:r>
        <w:t xml:space="preserve">effect change. That way, people are more encouraged to engage with you. </w:t>
      </w:r>
    </w:p>
    <w:p w14:paraId="0BB7858F" w14:textId="77777777" w:rsidR="00D94AA5" w:rsidRDefault="00D94AA5" w:rsidP="00D94AA5">
      <w:pPr>
        <w:pStyle w:val="HWNormalText"/>
        <w:rPr>
          <w:b/>
          <w:bCs/>
        </w:rPr>
      </w:pPr>
      <w:r w:rsidRPr="00D94AA5">
        <w:t>One way to do this is to ensure you close the feedback loop by sharing your output and its impact with those who engaged with it. You should share your research with the voluntary groups you engaged with. Consider getting your outputs translated or put into Easy Read format if that helps people access them.</w:t>
      </w:r>
    </w:p>
    <w:p w14:paraId="7F7A7354" w14:textId="789BCA94" w:rsidR="00C61DB4" w:rsidRDefault="00C61DB4" w:rsidP="00EC59B2">
      <w:pPr>
        <w:pStyle w:val="HWHeading2"/>
      </w:pPr>
      <w:r>
        <w:t>How do we interpret and analyse information from diverse communities?</w:t>
      </w:r>
    </w:p>
    <w:p w14:paraId="02E6A8CB" w14:textId="77777777" w:rsidR="00F066D6" w:rsidRDefault="00F066D6" w:rsidP="00C61DB4">
      <w:pPr>
        <w:pStyle w:val="HWNormalText"/>
      </w:pPr>
      <w:r w:rsidRPr="00F066D6">
        <w:t>Throughout your engagement with people from diverse communities, you will be collecting their experiences alongside their demographic data. Demographic data refers to information about the characteristics of the population, such as age, gender, ethnicity and so on. It allows you to work out who your respondents are.</w:t>
      </w:r>
    </w:p>
    <w:p w14:paraId="0A02962F" w14:textId="0221A4E1" w:rsidR="00C61DB4" w:rsidRDefault="00F066D6" w:rsidP="00C61DB4">
      <w:pPr>
        <w:pStyle w:val="HWNormalText"/>
      </w:pPr>
      <w:r w:rsidRPr="00F066D6">
        <w:t>Using this information, you can analyse and interpret the data in a slightly different way. For example, you can draw parallels or contrasts between various groups and relate this to health inequalities.</w:t>
      </w:r>
    </w:p>
    <w:p w14:paraId="204843AC" w14:textId="5FBEF519" w:rsidR="00C61DB4" w:rsidRDefault="00C61DB4" w:rsidP="00C61DB4">
      <w:pPr>
        <w:pStyle w:val="HWNormalText"/>
      </w:pPr>
      <w:r>
        <w:lastRenderedPageBreak/>
        <w:t xml:space="preserve">For more information, see our guidance on </w:t>
      </w:r>
      <w:hyperlink r:id="rId18" w:history="1">
        <w:r w:rsidRPr="00002488">
          <w:rPr>
            <w:rStyle w:val="Hyperlink"/>
          </w:rPr>
          <w:t>collecting and analysing demographic data.</w:t>
        </w:r>
      </w:hyperlink>
    </w:p>
    <w:p w14:paraId="0F58D29D" w14:textId="77777777" w:rsidR="00C61DB4" w:rsidRDefault="00C61DB4" w:rsidP="00EC59B2">
      <w:pPr>
        <w:pStyle w:val="HWHeading2"/>
      </w:pPr>
      <w:r>
        <w:t>How can I ensure my research materials are appropriate?</w:t>
      </w:r>
    </w:p>
    <w:p w14:paraId="5D947C31" w14:textId="45D8C382" w:rsidR="00C61DB4" w:rsidRDefault="00C61DB4" w:rsidP="00FC3DB9">
      <w:pPr>
        <w:pStyle w:val="HWBullets"/>
      </w:pPr>
      <w:r>
        <w:t xml:space="preserve">You must make sure that your research is accessible </w:t>
      </w:r>
      <w:r w:rsidR="003D20B6">
        <w:t xml:space="preserve">to </w:t>
      </w:r>
      <w:r>
        <w:t xml:space="preserve">everyone in the community. </w:t>
      </w:r>
      <w:r w:rsidR="000038F5">
        <w:t xml:space="preserve">Ask the groups you are interested </w:t>
      </w:r>
      <w:proofErr w:type="gramStart"/>
      <w:r w:rsidR="000038F5">
        <w:t>in to</w:t>
      </w:r>
      <w:proofErr w:type="gramEnd"/>
      <w:r w:rsidR="000038F5">
        <w:t xml:space="preserve"> quality assure all your research materials so that they cover relevant issues, avoid the use of jargon and speak to the communities involved.</w:t>
      </w:r>
    </w:p>
    <w:p w14:paraId="246D559E" w14:textId="3C55B1CA" w:rsidR="00C61DB4" w:rsidRDefault="00C61DB4" w:rsidP="00FC3DB9">
      <w:pPr>
        <w:pStyle w:val="HWBullets"/>
      </w:pPr>
      <w:r>
        <w:t xml:space="preserve">Translating research materials is something you should consider. </w:t>
      </w:r>
      <w:r w:rsidR="00A34526" w:rsidRPr="00A34526">
        <w:t>All research participants must have materials in a language they can fully understand. Once you have something translated, it can be helpful to contact someone from that community to review it.</w:t>
      </w:r>
      <w:r>
        <w:t xml:space="preserve"> This can help sense-check the translation and ensure </w:t>
      </w:r>
      <w:r w:rsidR="00196CD3">
        <w:t>it is accurate</w:t>
      </w:r>
      <w:r>
        <w:t>.</w:t>
      </w:r>
    </w:p>
    <w:p w14:paraId="117A64DE" w14:textId="7D7D699D" w:rsidR="00C61DB4" w:rsidRDefault="00C61DB4" w:rsidP="00FC3DB9">
      <w:pPr>
        <w:pStyle w:val="HWBullets"/>
      </w:pPr>
      <w:r>
        <w:t>You can</w:t>
      </w:r>
      <w:r w:rsidR="004E4327">
        <w:t xml:space="preserve"> use a</w:t>
      </w:r>
      <w:r>
        <w:t xml:space="preserve"> variety of ways of getting feedback (a mixed-methods approach) to increase your chances of hearing from a diverse range of people. For example, using post and telephone engagement to reduce digital exclusion.</w:t>
      </w:r>
    </w:p>
    <w:p w14:paraId="47B8FD5B" w14:textId="33905224" w:rsidR="00403435" w:rsidRDefault="00C61DB4" w:rsidP="000038F5">
      <w:pPr>
        <w:pStyle w:val="HWBullets"/>
      </w:pPr>
      <w:r>
        <w:t>It may also be useful to scope how your target group would prefer to be contacted and what methods they would favour for engaging with you.</w:t>
      </w:r>
    </w:p>
    <w:p w14:paraId="0207D0B1" w14:textId="77777777" w:rsidR="00C61DB4" w:rsidRDefault="00C61DB4" w:rsidP="00EC59B2">
      <w:pPr>
        <w:pStyle w:val="HWHeading2"/>
      </w:pPr>
      <w:r>
        <w:t>How can I engage with people when face-to-face methods are not possible?</w:t>
      </w:r>
    </w:p>
    <w:p w14:paraId="00DDD3AC" w14:textId="77777777" w:rsidR="00C61DB4" w:rsidRDefault="00C61DB4" w:rsidP="00C61DB4">
      <w:pPr>
        <w:pStyle w:val="HWNormalText"/>
      </w:pPr>
      <w:r>
        <w:t xml:space="preserve">In some cases, it may not be possible to conduct research face-to-face. Sometimes even when it would be possible, respondents may prefer not to. </w:t>
      </w:r>
    </w:p>
    <w:p w14:paraId="7272003B" w14:textId="77777777" w:rsidR="00DC7D6E" w:rsidRDefault="00DC7D6E" w:rsidP="00DC7D6E">
      <w:pPr>
        <w:pStyle w:val="HWNormalText"/>
        <w:rPr>
          <w:b/>
          <w:bCs/>
        </w:rPr>
      </w:pPr>
      <w:bookmarkStart w:id="6" w:name="_Toc222137107"/>
      <w:r w:rsidRPr="00DC7D6E">
        <w:t>It is essential to create a range of ways people can engage with your research. If face-to-face is not possible or desirable, you can offer phone calls or video calls. If the latter, be sure to determine which platform would be preferable for the participant. You should remove as many barriers to their engagement as possible.</w:t>
      </w:r>
    </w:p>
    <w:p w14:paraId="102D53C0" w14:textId="266E59A6" w:rsidR="006F44CD" w:rsidRDefault="006F44CD" w:rsidP="006F44CD">
      <w:pPr>
        <w:pStyle w:val="HWHeading1"/>
      </w:pPr>
      <w:r>
        <w:t>Further reading</w:t>
      </w:r>
      <w:bookmarkEnd w:id="6"/>
    </w:p>
    <w:p w14:paraId="07E9B620" w14:textId="77777777" w:rsidR="00ED668A" w:rsidRDefault="00361B8F" w:rsidP="00C61DB4">
      <w:pPr>
        <w:pStyle w:val="HWNormalText"/>
      </w:pPr>
      <w:r>
        <w:t xml:space="preserve">You may find the following </w:t>
      </w:r>
      <w:r w:rsidR="00ED668A">
        <w:t>guidance useful:</w:t>
      </w:r>
    </w:p>
    <w:p w14:paraId="29C1ECB2" w14:textId="2BFCA306" w:rsidR="008162F9" w:rsidRDefault="00C61DB4" w:rsidP="00C61DB4">
      <w:pPr>
        <w:pStyle w:val="HWNormalText"/>
      </w:pPr>
      <w:hyperlink r:id="rId19" w:history="1">
        <w:r w:rsidRPr="00B630BF">
          <w:rPr>
            <w:rStyle w:val="Hyperlink"/>
          </w:rPr>
          <w:t>guidance on engaging well with people online</w:t>
        </w:r>
      </w:hyperlink>
      <w:r>
        <w:t>.</w:t>
      </w:r>
    </w:p>
    <w:p w14:paraId="3D59E1DC" w14:textId="168DB11C" w:rsidR="00E677F8" w:rsidRDefault="00625048" w:rsidP="00C61DB4">
      <w:pPr>
        <w:pStyle w:val="HWNormalText"/>
      </w:pPr>
      <w:hyperlink r:id="rId20" w:history="1">
        <w:r w:rsidRPr="00625048">
          <w:rPr>
            <w:rStyle w:val="Hyperlink"/>
          </w:rPr>
          <w:t>Engaging with people using video diaries</w:t>
        </w:r>
      </w:hyperlink>
    </w:p>
    <w:p w14:paraId="30F5D86A" w14:textId="39747CA4" w:rsidR="00EE5727" w:rsidRDefault="00775445" w:rsidP="00C61DB4">
      <w:pPr>
        <w:pStyle w:val="HWNormalText"/>
      </w:pPr>
      <w:hyperlink r:id="rId21" w:history="1">
        <w:proofErr w:type="spellStart"/>
        <w:r w:rsidRPr="00625048">
          <w:rPr>
            <w:rStyle w:val="Hyperlink"/>
          </w:rPr>
          <w:t>Co producing</w:t>
        </w:r>
        <w:proofErr w:type="spellEnd"/>
        <w:r w:rsidRPr="00625048">
          <w:rPr>
            <w:rStyle w:val="Hyperlink"/>
          </w:rPr>
          <w:t xml:space="preserve"> with sel</w:t>
        </w:r>
        <w:r w:rsidR="00FA651E" w:rsidRPr="00625048">
          <w:rPr>
            <w:rStyle w:val="Hyperlink"/>
          </w:rPr>
          <w:t>dom hear</w:t>
        </w:r>
        <w:r w:rsidR="00625048">
          <w:rPr>
            <w:rStyle w:val="Hyperlink"/>
          </w:rPr>
          <w:t>d</w:t>
        </w:r>
        <w:r w:rsidR="00FA651E" w:rsidRPr="00625048">
          <w:rPr>
            <w:rStyle w:val="Hyperlink"/>
          </w:rPr>
          <w:t xml:space="preserve"> groups</w:t>
        </w:r>
      </w:hyperlink>
    </w:p>
    <w:p w14:paraId="2A5765AB" w14:textId="113ECA0F" w:rsidR="0050627B" w:rsidRDefault="0050627B" w:rsidP="00C61DB4">
      <w:pPr>
        <w:pStyle w:val="HWNormalText"/>
      </w:pPr>
      <w:hyperlink r:id="rId22" w:history="1">
        <w:r w:rsidRPr="0050627B">
          <w:rPr>
            <w:rStyle w:val="Hyperlink"/>
          </w:rPr>
          <w:t>Engaging with people who live with dementia</w:t>
        </w:r>
      </w:hyperlink>
    </w:p>
    <w:p w14:paraId="2E1D73E6" w14:textId="7CBA32CC" w:rsidR="001114EE" w:rsidRDefault="001114EE" w:rsidP="00C61DB4">
      <w:pPr>
        <w:pStyle w:val="HWNormalText"/>
      </w:pPr>
      <w:hyperlink r:id="rId23" w:history="1">
        <w:r w:rsidRPr="001114EE">
          <w:rPr>
            <w:rStyle w:val="Hyperlink"/>
          </w:rPr>
          <w:t>Engaging with people who are experiencing homelessness</w:t>
        </w:r>
      </w:hyperlink>
    </w:p>
    <w:p w14:paraId="237F1754" w14:textId="1DBCFFA4" w:rsidR="004A43F3" w:rsidRDefault="00B33D16" w:rsidP="00ED4B12">
      <w:pPr>
        <w:pStyle w:val="HWNormalText"/>
      </w:pPr>
      <w:hyperlink r:id="rId24" w:history="1">
        <w:r w:rsidRPr="00B33D16">
          <w:rPr>
            <w:rStyle w:val="Hyperlink"/>
          </w:rPr>
          <w:t>Engaging with refugees and asylum seekers</w:t>
        </w:r>
      </w:hyperlink>
    </w:p>
    <w:p w14:paraId="6194BBC6" w14:textId="77777777" w:rsidR="006F44CD" w:rsidRDefault="006F44CD" w:rsidP="006F44CD">
      <w:pPr>
        <w:pStyle w:val="HWBullets"/>
        <w:numPr>
          <w:ilvl w:val="0"/>
          <w:numId w:val="0"/>
        </w:numPr>
        <w:ind w:left="357" w:hanging="357"/>
      </w:pPr>
    </w:p>
    <w:p w14:paraId="73BA5AF8" w14:textId="6E1F9C60" w:rsidR="0093695D" w:rsidRDefault="0093695D" w:rsidP="006F44CD">
      <w:pPr>
        <w:pStyle w:val="HWBullets"/>
        <w:numPr>
          <w:ilvl w:val="0"/>
          <w:numId w:val="0"/>
        </w:numPr>
        <w:ind w:left="357" w:hanging="357"/>
        <w:sectPr w:rsidR="0093695D" w:rsidSect="0053182A">
          <w:headerReference w:type="default" r:id="rId25"/>
          <w:footerReference w:type="default" r:id="rId26"/>
          <w:type w:val="continuous"/>
          <w:pgSz w:w="11906" w:h="16838" w:code="9"/>
          <w:pgMar w:top="851" w:right="737" w:bottom="1304" w:left="737" w:header="624" w:footer="454" w:gutter="0"/>
          <w:cols w:space="708"/>
          <w:docGrid w:linePitch="360"/>
        </w:sectPr>
      </w:pPr>
    </w:p>
    <w:p w14:paraId="4F40CBF6" w14:textId="77777777" w:rsidR="004A43F3" w:rsidRPr="006147DF" w:rsidRDefault="004A43F3" w:rsidP="006147DF">
      <w:pPr>
        <w:pStyle w:val="HWEndPage1"/>
      </w:pPr>
      <w:r w:rsidRPr="006147DF">
        <w:lastRenderedPageBreak/>
        <w:t>Healthwatch England</w:t>
      </w:r>
      <w:r w:rsidR="001C4D43">
        <w:t xml:space="preserve"> </w:t>
      </w:r>
    </w:p>
    <w:p w14:paraId="03DD7D8E" w14:textId="77777777" w:rsidR="004A43F3" w:rsidRPr="006147DF" w:rsidRDefault="004A43F3" w:rsidP="006147DF">
      <w:pPr>
        <w:pStyle w:val="HWEndPage2"/>
      </w:pPr>
      <w:r w:rsidRPr="006147DF">
        <w:t>National Customer Service Centre</w:t>
      </w:r>
    </w:p>
    <w:p w14:paraId="63265440" w14:textId="77777777" w:rsidR="004A43F3" w:rsidRPr="006147DF" w:rsidRDefault="004A43F3" w:rsidP="006147DF">
      <w:pPr>
        <w:pStyle w:val="HWEndPage2"/>
      </w:pPr>
      <w:r w:rsidRPr="006147DF">
        <w:t>Citygate</w:t>
      </w:r>
    </w:p>
    <w:p w14:paraId="507B06C5" w14:textId="77777777" w:rsidR="004A43F3" w:rsidRPr="006147DF" w:rsidRDefault="004A43F3" w:rsidP="006147DF">
      <w:pPr>
        <w:pStyle w:val="HWEndPage2"/>
      </w:pPr>
      <w:r w:rsidRPr="006147DF">
        <w:t>Gallowgate</w:t>
      </w:r>
    </w:p>
    <w:p w14:paraId="1ABFA682" w14:textId="77777777" w:rsidR="004A43F3" w:rsidRPr="006147DF" w:rsidRDefault="004A43F3" w:rsidP="006147DF">
      <w:pPr>
        <w:pStyle w:val="HWEndPage2"/>
      </w:pPr>
      <w:r w:rsidRPr="006147DF">
        <w:t>Newcastle upon Tyne</w:t>
      </w:r>
    </w:p>
    <w:p w14:paraId="45639521" w14:textId="77777777" w:rsidR="004A43F3" w:rsidRPr="006147DF" w:rsidRDefault="004A43F3" w:rsidP="006147DF">
      <w:pPr>
        <w:pStyle w:val="HWEndPage2"/>
      </w:pPr>
      <w:r w:rsidRPr="006147DF">
        <w:t>NE1 4PA</w:t>
      </w:r>
    </w:p>
    <w:p w14:paraId="185CECE8" w14:textId="77777777" w:rsidR="006147DF" w:rsidRPr="006147DF" w:rsidRDefault="006147DF" w:rsidP="006147DF">
      <w:pPr>
        <w:pStyle w:val="HWEndPage2"/>
      </w:pPr>
    </w:p>
    <w:p w14:paraId="3FF9328F"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345B548F" wp14:editId="2EC7BBD4">
            <wp:simplePos x="0" y="0"/>
            <wp:positionH relativeFrom="page">
              <wp:posOffset>0</wp:posOffset>
            </wp:positionH>
            <wp:positionV relativeFrom="page">
              <wp:posOffset>0</wp:posOffset>
            </wp:positionV>
            <wp:extent cx="7562850" cy="10696575"/>
            <wp:effectExtent l="19050" t="0" r="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7" cstate="print"/>
                    <a:stretch>
                      <a:fillRect/>
                    </a:stretch>
                  </pic:blipFill>
                  <pic:spPr>
                    <a:xfrm>
                      <a:off x="0" y="0"/>
                      <a:ext cx="7562850" cy="10696575"/>
                    </a:xfrm>
                    <a:prstGeom prst="rect">
                      <a:avLst/>
                    </a:prstGeom>
                  </pic:spPr>
                </pic:pic>
              </a:graphicData>
            </a:graphic>
          </wp:anchor>
        </w:drawing>
      </w:r>
      <w:r w:rsidR="007D4EFC" w:rsidRPr="007D4EFC">
        <w:rPr>
          <w:noProof/>
          <w:lang w:eastAsia="en-GB"/>
        </w:rPr>
        <w:drawing>
          <wp:anchor distT="0" distB="0" distL="114300" distR="114300" simplePos="0" relativeHeight="251658245" behindDoc="0" locked="1" layoutInCell="1" allowOverlap="1" wp14:anchorId="3F7D919A" wp14:editId="4F4795C3">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11" cstate="print"/>
                    <a:stretch>
                      <a:fillRect/>
                    </a:stretch>
                  </pic:blipFill>
                  <pic:spPr>
                    <a:xfrm>
                      <a:off x="0" y="0"/>
                      <a:ext cx="3343275" cy="914400"/>
                    </a:xfrm>
                    <a:prstGeom prst="rect">
                      <a:avLst/>
                    </a:prstGeom>
                  </pic:spPr>
                </pic:pic>
              </a:graphicData>
            </a:graphic>
          </wp:anchor>
        </w:drawing>
      </w:r>
    </w:p>
    <w:p w14:paraId="56156D37" w14:textId="77777777" w:rsidR="004A43F3" w:rsidRPr="006147DF" w:rsidRDefault="004A43F3" w:rsidP="006147DF">
      <w:pPr>
        <w:pStyle w:val="HWEndPage3"/>
      </w:pPr>
      <w:r w:rsidRPr="006147DF">
        <w:t>t: 03000 683 000</w:t>
      </w:r>
    </w:p>
    <w:p w14:paraId="0F0BCBF2" w14:textId="77777777" w:rsidR="004A43F3" w:rsidRPr="006147DF" w:rsidRDefault="004A43F3" w:rsidP="006147DF">
      <w:pPr>
        <w:pStyle w:val="HWEndPage3"/>
      </w:pPr>
      <w:r w:rsidRPr="006147DF">
        <w:t>e: enquiries@healthwatch.co.uk</w:t>
      </w:r>
    </w:p>
    <w:p w14:paraId="529BCB25" w14:textId="77777777" w:rsidR="004A43F3" w:rsidRPr="006147DF" w:rsidRDefault="006147DF" w:rsidP="006147DF">
      <w:pPr>
        <w:pStyle w:val="HWEndPage3"/>
      </w:pPr>
      <w:r w:rsidRPr="006147DF">
        <w:rPr>
          <w:noProof/>
          <w:lang w:eastAsia="en-GB"/>
        </w:rPr>
        <w:drawing>
          <wp:anchor distT="0" distB="0" distL="0" distR="36195" simplePos="0" relativeHeight="251658243" behindDoc="0" locked="0" layoutInCell="1" allowOverlap="1" wp14:anchorId="08494B5C" wp14:editId="7EDCC303">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8"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3DCD282D" w14:textId="77777777" w:rsidR="004A43F3" w:rsidRPr="006147DF" w:rsidRDefault="006147DF" w:rsidP="006147DF">
      <w:pPr>
        <w:pStyle w:val="HWEndPage3"/>
      </w:pPr>
      <w:r w:rsidRPr="006147DF">
        <w:rPr>
          <w:noProof/>
          <w:lang w:eastAsia="en-GB"/>
        </w:rPr>
        <w:drawing>
          <wp:anchor distT="0" distB="0" distL="0" distR="36195" simplePos="0" relativeHeight="251658244" behindDoc="0" locked="0" layoutInCell="1" allowOverlap="1" wp14:anchorId="76324BF0" wp14:editId="02982E27">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8"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9"/>
      <w:footerReference w:type="default" r:id="rId30"/>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513B" w14:textId="77777777" w:rsidR="003C71C4" w:rsidRDefault="003C71C4" w:rsidP="007D1518">
      <w:r>
        <w:separator/>
      </w:r>
    </w:p>
  </w:endnote>
  <w:endnote w:type="continuationSeparator" w:id="0">
    <w:p w14:paraId="32C7917C" w14:textId="77777777" w:rsidR="003C71C4" w:rsidRDefault="003C71C4"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3B42"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F816" w14:textId="777D19EE" w:rsidR="00A5113A" w:rsidRDefault="00EF51BA">
    <w:pPr>
      <w:pStyle w:val="Footer"/>
    </w:pPr>
    <w:r>
      <w:rPr>
        <w:noProof/>
        <w:lang w:eastAsia="en-GB"/>
      </w:rPr>
      <mc:AlternateContent>
        <mc:Choice Requires="wps">
          <w:drawing>
            <wp:anchor distT="0" distB="0" distL="114300" distR="114300" simplePos="0" relativeHeight="251658240" behindDoc="0" locked="1" layoutInCell="1" allowOverlap="1" wp14:anchorId="085A6CBD" wp14:editId="100A3E05">
              <wp:simplePos x="0" y="0"/>
              <wp:positionH relativeFrom="page">
                <wp:posOffset>459105</wp:posOffset>
              </wp:positionH>
              <wp:positionV relativeFrom="page">
                <wp:posOffset>9955530</wp:posOffset>
              </wp:positionV>
              <wp:extent cx="664210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4DFE18"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fldChar w:fldCharType="begin"/>
    </w:r>
    <w:r>
      <w:instrText xml:space="preserve"> REF HW_title </w:instrText>
    </w:r>
    <w:r>
      <w:fldChar w:fldCharType="separate"/>
    </w:r>
    <w:r w:rsidR="006F44CD">
      <w:rPr>
        <w:rFonts w:asciiTheme="minorHAnsi" w:hAnsiTheme="minorHAnsi" w:cstheme="minorHAnsi"/>
      </w:rPr>
      <w:t>Making your research inclusive</w:t>
    </w:r>
    <w:r w:rsidR="00C61DB4" w:rsidRPr="00315FD6">
      <w:rPr>
        <w:rFonts w:asciiTheme="minorHAnsi" w:hAnsiTheme="minorHAnsi" w:cstheme="minorHAnsi"/>
      </w:rPr>
      <w:t xml:space="preserve">  </w:t>
    </w:r>
    <w:r>
      <w:fldChar w:fldCharType="end"/>
    </w:r>
    <w:r w:rsidR="00F85233">
      <w:t xml:space="preserve"> </w:t>
    </w:r>
  </w:p>
  <w:p w14:paraId="2B275848" w14:textId="77777777" w:rsidR="004E3B85" w:rsidRPr="004E3B85" w:rsidRDefault="00607410"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91DD6">
      <w:rPr>
        <w:rStyle w:val="PageNumber"/>
        <w:noProof/>
      </w:rPr>
      <w:t>6</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75D9"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600A2" w14:textId="77777777" w:rsidR="003C71C4" w:rsidRDefault="003C71C4" w:rsidP="007D1518">
      <w:r>
        <w:separator/>
      </w:r>
    </w:p>
  </w:footnote>
  <w:footnote w:type="continuationSeparator" w:id="0">
    <w:p w14:paraId="257FDD13" w14:textId="77777777" w:rsidR="003C71C4" w:rsidRDefault="003C71C4"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52E9" w14:textId="77777777" w:rsidR="00762252" w:rsidRDefault="00762252" w:rsidP="00762252">
    <w:pPr>
      <w:pStyle w:val="Header"/>
      <w:spacing w:after="48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2B26"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5D85"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B2F70"/>
    <w:multiLevelType w:val="hybridMultilevel"/>
    <w:tmpl w:val="BEFE9C8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F430DF"/>
    <w:multiLevelType w:val="hybridMultilevel"/>
    <w:tmpl w:val="14CE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5241D"/>
    <w:multiLevelType w:val="hybridMultilevel"/>
    <w:tmpl w:val="13143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42597"/>
    <w:multiLevelType w:val="hybridMultilevel"/>
    <w:tmpl w:val="D88C239E"/>
    <w:lvl w:ilvl="0" w:tplc="B818028A">
      <w:start w:val="1"/>
      <w:numFmt w:val="bullet"/>
      <w:pStyle w:val="HWStoryBullets"/>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1503089146">
    <w:abstractNumId w:val="13"/>
  </w:num>
  <w:num w:numId="2" w16cid:durableId="338428604">
    <w:abstractNumId w:val="9"/>
  </w:num>
  <w:num w:numId="3" w16cid:durableId="865875627">
    <w:abstractNumId w:val="7"/>
  </w:num>
  <w:num w:numId="4" w16cid:durableId="1930121055">
    <w:abstractNumId w:val="6"/>
  </w:num>
  <w:num w:numId="5" w16cid:durableId="584270005">
    <w:abstractNumId w:val="5"/>
  </w:num>
  <w:num w:numId="6" w16cid:durableId="1179734613">
    <w:abstractNumId w:val="4"/>
  </w:num>
  <w:num w:numId="7" w16cid:durableId="77139227">
    <w:abstractNumId w:val="8"/>
  </w:num>
  <w:num w:numId="8" w16cid:durableId="1199663058">
    <w:abstractNumId w:val="3"/>
  </w:num>
  <w:num w:numId="9" w16cid:durableId="894850998">
    <w:abstractNumId w:val="2"/>
  </w:num>
  <w:num w:numId="10" w16cid:durableId="61174834">
    <w:abstractNumId w:val="1"/>
  </w:num>
  <w:num w:numId="11" w16cid:durableId="936792909">
    <w:abstractNumId w:val="0"/>
  </w:num>
  <w:num w:numId="12" w16cid:durableId="913665731">
    <w:abstractNumId w:val="18"/>
  </w:num>
  <w:num w:numId="13" w16cid:durableId="1360156657">
    <w:abstractNumId w:val="16"/>
  </w:num>
  <w:num w:numId="14" w16cid:durableId="287276837">
    <w:abstractNumId w:val="12"/>
  </w:num>
  <w:num w:numId="15" w16cid:durableId="1397049755">
    <w:abstractNumId w:val="15"/>
  </w:num>
  <w:num w:numId="16" w16cid:durableId="1404986317">
    <w:abstractNumId w:val="14"/>
  </w:num>
  <w:num w:numId="17" w16cid:durableId="1637177423">
    <w:abstractNumId w:val="20"/>
  </w:num>
  <w:num w:numId="18" w16cid:durableId="1841969424">
    <w:abstractNumId w:val="17"/>
  </w:num>
  <w:num w:numId="19" w16cid:durableId="1377117783">
    <w:abstractNumId w:val="19"/>
  </w:num>
  <w:num w:numId="20" w16cid:durableId="843860158">
    <w:abstractNumId w:val="10"/>
  </w:num>
  <w:num w:numId="21" w16cid:durableId="362680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B4"/>
    <w:rsid w:val="000016AF"/>
    <w:rsid w:val="00002488"/>
    <w:rsid w:val="000038F5"/>
    <w:rsid w:val="00010F05"/>
    <w:rsid w:val="00011A07"/>
    <w:rsid w:val="00023116"/>
    <w:rsid w:val="00024421"/>
    <w:rsid w:val="00025FC6"/>
    <w:rsid w:val="00032CDA"/>
    <w:rsid w:val="00033523"/>
    <w:rsid w:val="00034158"/>
    <w:rsid w:val="000368F0"/>
    <w:rsid w:val="00042799"/>
    <w:rsid w:val="00052DDE"/>
    <w:rsid w:val="0005482E"/>
    <w:rsid w:val="00054E4B"/>
    <w:rsid w:val="00056E1D"/>
    <w:rsid w:val="00057E37"/>
    <w:rsid w:val="0006241D"/>
    <w:rsid w:val="00063D7C"/>
    <w:rsid w:val="00064FF9"/>
    <w:rsid w:val="00065D73"/>
    <w:rsid w:val="0007436A"/>
    <w:rsid w:val="00077781"/>
    <w:rsid w:val="00081A86"/>
    <w:rsid w:val="0008464C"/>
    <w:rsid w:val="00091BD1"/>
    <w:rsid w:val="00092015"/>
    <w:rsid w:val="00093A08"/>
    <w:rsid w:val="00093B01"/>
    <w:rsid w:val="00097559"/>
    <w:rsid w:val="000A4351"/>
    <w:rsid w:val="000B5938"/>
    <w:rsid w:val="000C2076"/>
    <w:rsid w:val="000C6021"/>
    <w:rsid w:val="000D072F"/>
    <w:rsid w:val="000D1281"/>
    <w:rsid w:val="000D12A5"/>
    <w:rsid w:val="000D5E1C"/>
    <w:rsid w:val="000D772D"/>
    <w:rsid w:val="000E1CA0"/>
    <w:rsid w:val="000E4E21"/>
    <w:rsid w:val="000E689A"/>
    <w:rsid w:val="000F00CC"/>
    <w:rsid w:val="000F234C"/>
    <w:rsid w:val="00105082"/>
    <w:rsid w:val="001114EE"/>
    <w:rsid w:val="00111E53"/>
    <w:rsid w:val="0011241A"/>
    <w:rsid w:val="0011507D"/>
    <w:rsid w:val="00115B7F"/>
    <w:rsid w:val="00117CC1"/>
    <w:rsid w:val="00123D5C"/>
    <w:rsid w:val="00125900"/>
    <w:rsid w:val="0012713B"/>
    <w:rsid w:val="00134D62"/>
    <w:rsid w:val="0014051C"/>
    <w:rsid w:val="001407C1"/>
    <w:rsid w:val="00141A21"/>
    <w:rsid w:val="00143A35"/>
    <w:rsid w:val="00145E8C"/>
    <w:rsid w:val="001472CF"/>
    <w:rsid w:val="001518C5"/>
    <w:rsid w:val="00153797"/>
    <w:rsid w:val="0016104F"/>
    <w:rsid w:val="00163642"/>
    <w:rsid w:val="00163A58"/>
    <w:rsid w:val="00164078"/>
    <w:rsid w:val="00172A2A"/>
    <w:rsid w:val="00173955"/>
    <w:rsid w:val="001854D7"/>
    <w:rsid w:val="001904A3"/>
    <w:rsid w:val="001957F6"/>
    <w:rsid w:val="00196CD3"/>
    <w:rsid w:val="00197411"/>
    <w:rsid w:val="001A0EEB"/>
    <w:rsid w:val="001A396C"/>
    <w:rsid w:val="001B0890"/>
    <w:rsid w:val="001B110A"/>
    <w:rsid w:val="001B1B21"/>
    <w:rsid w:val="001B2302"/>
    <w:rsid w:val="001B6C6E"/>
    <w:rsid w:val="001C0419"/>
    <w:rsid w:val="001C129E"/>
    <w:rsid w:val="001C4D43"/>
    <w:rsid w:val="001C51CF"/>
    <w:rsid w:val="001C6729"/>
    <w:rsid w:val="001D2E39"/>
    <w:rsid w:val="001D42EC"/>
    <w:rsid w:val="001D6A1C"/>
    <w:rsid w:val="001D7A00"/>
    <w:rsid w:val="001E1A11"/>
    <w:rsid w:val="001E1DE0"/>
    <w:rsid w:val="001E38B1"/>
    <w:rsid w:val="001E7CFD"/>
    <w:rsid w:val="001F6EE4"/>
    <w:rsid w:val="001F7792"/>
    <w:rsid w:val="00205E86"/>
    <w:rsid w:val="00207991"/>
    <w:rsid w:val="00213B9C"/>
    <w:rsid w:val="00217C88"/>
    <w:rsid w:val="002207D0"/>
    <w:rsid w:val="00232593"/>
    <w:rsid w:val="00236163"/>
    <w:rsid w:val="00240111"/>
    <w:rsid w:val="0024364F"/>
    <w:rsid w:val="002437E9"/>
    <w:rsid w:val="00244DD7"/>
    <w:rsid w:val="00245151"/>
    <w:rsid w:val="002467BA"/>
    <w:rsid w:val="002501B9"/>
    <w:rsid w:val="002524A5"/>
    <w:rsid w:val="00252AED"/>
    <w:rsid w:val="0025459D"/>
    <w:rsid w:val="00255819"/>
    <w:rsid w:val="002641B2"/>
    <w:rsid w:val="002658D0"/>
    <w:rsid w:val="00267EF7"/>
    <w:rsid w:val="00272C6E"/>
    <w:rsid w:val="002816DE"/>
    <w:rsid w:val="00284A32"/>
    <w:rsid w:val="0029313C"/>
    <w:rsid w:val="00295593"/>
    <w:rsid w:val="00295BF1"/>
    <w:rsid w:val="002A0C48"/>
    <w:rsid w:val="002A796C"/>
    <w:rsid w:val="002B124C"/>
    <w:rsid w:val="002B141C"/>
    <w:rsid w:val="002B73B8"/>
    <w:rsid w:val="002D775B"/>
    <w:rsid w:val="002E0C51"/>
    <w:rsid w:val="002E5C71"/>
    <w:rsid w:val="002F3217"/>
    <w:rsid w:val="002F655E"/>
    <w:rsid w:val="00300C8F"/>
    <w:rsid w:val="00303C5D"/>
    <w:rsid w:val="003054FB"/>
    <w:rsid w:val="00305F7E"/>
    <w:rsid w:val="00313417"/>
    <w:rsid w:val="00313819"/>
    <w:rsid w:val="00315FD6"/>
    <w:rsid w:val="003163F1"/>
    <w:rsid w:val="003179C6"/>
    <w:rsid w:val="00317B0B"/>
    <w:rsid w:val="00323751"/>
    <w:rsid w:val="00323DCD"/>
    <w:rsid w:val="00323F30"/>
    <w:rsid w:val="003264FB"/>
    <w:rsid w:val="0033443C"/>
    <w:rsid w:val="00334EE6"/>
    <w:rsid w:val="00335A66"/>
    <w:rsid w:val="00336747"/>
    <w:rsid w:val="00340D2E"/>
    <w:rsid w:val="003424CC"/>
    <w:rsid w:val="00345E87"/>
    <w:rsid w:val="00353EEA"/>
    <w:rsid w:val="00361B8F"/>
    <w:rsid w:val="00363040"/>
    <w:rsid w:val="003662B9"/>
    <w:rsid w:val="00375858"/>
    <w:rsid w:val="00376BF4"/>
    <w:rsid w:val="00376E06"/>
    <w:rsid w:val="0037738F"/>
    <w:rsid w:val="003825F0"/>
    <w:rsid w:val="003837FF"/>
    <w:rsid w:val="00391874"/>
    <w:rsid w:val="00391AA0"/>
    <w:rsid w:val="00392E13"/>
    <w:rsid w:val="00395600"/>
    <w:rsid w:val="00395A86"/>
    <w:rsid w:val="0039769B"/>
    <w:rsid w:val="003A446F"/>
    <w:rsid w:val="003A7EE2"/>
    <w:rsid w:val="003B15A0"/>
    <w:rsid w:val="003B3AE8"/>
    <w:rsid w:val="003C5219"/>
    <w:rsid w:val="003C71C4"/>
    <w:rsid w:val="003C7742"/>
    <w:rsid w:val="003D00D2"/>
    <w:rsid w:val="003D20B6"/>
    <w:rsid w:val="003D2777"/>
    <w:rsid w:val="003D4BF9"/>
    <w:rsid w:val="003E0876"/>
    <w:rsid w:val="003E1957"/>
    <w:rsid w:val="003E798E"/>
    <w:rsid w:val="003F0F35"/>
    <w:rsid w:val="003F1622"/>
    <w:rsid w:val="003F2CCD"/>
    <w:rsid w:val="003F6DCB"/>
    <w:rsid w:val="00401FCD"/>
    <w:rsid w:val="00402106"/>
    <w:rsid w:val="00402524"/>
    <w:rsid w:val="00403435"/>
    <w:rsid w:val="00412DB2"/>
    <w:rsid w:val="00414996"/>
    <w:rsid w:val="0041551C"/>
    <w:rsid w:val="00421F0B"/>
    <w:rsid w:val="004222B7"/>
    <w:rsid w:val="00422BAD"/>
    <w:rsid w:val="00423868"/>
    <w:rsid w:val="00430F0A"/>
    <w:rsid w:val="0043343B"/>
    <w:rsid w:val="00434080"/>
    <w:rsid w:val="00437570"/>
    <w:rsid w:val="00441C7C"/>
    <w:rsid w:val="00455CE1"/>
    <w:rsid w:val="00461815"/>
    <w:rsid w:val="0047576D"/>
    <w:rsid w:val="00480F34"/>
    <w:rsid w:val="00483F7D"/>
    <w:rsid w:val="00490DEF"/>
    <w:rsid w:val="004928CC"/>
    <w:rsid w:val="004A32EC"/>
    <w:rsid w:val="004A43F3"/>
    <w:rsid w:val="004A4D69"/>
    <w:rsid w:val="004A5FBA"/>
    <w:rsid w:val="004A6025"/>
    <w:rsid w:val="004B0603"/>
    <w:rsid w:val="004B0D87"/>
    <w:rsid w:val="004B43D5"/>
    <w:rsid w:val="004C3842"/>
    <w:rsid w:val="004C689C"/>
    <w:rsid w:val="004D2A8F"/>
    <w:rsid w:val="004D2EC8"/>
    <w:rsid w:val="004D32A8"/>
    <w:rsid w:val="004E27DF"/>
    <w:rsid w:val="004E3B85"/>
    <w:rsid w:val="004E4327"/>
    <w:rsid w:val="004E5631"/>
    <w:rsid w:val="004F2ECE"/>
    <w:rsid w:val="004F36E6"/>
    <w:rsid w:val="004F3CFF"/>
    <w:rsid w:val="004F74A4"/>
    <w:rsid w:val="00500122"/>
    <w:rsid w:val="0050627B"/>
    <w:rsid w:val="00512FE5"/>
    <w:rsid w:val="00522FA7"/>
    <w:rsid w:val="005248C3"/>
    <w:rsid w:val="005262DF"/>
    <w:rsid w:val="0053182A"/>
    <w:rsid w:val="00532F89"/>
    <w:rsid w:val="00536134"/>
    <w:rsid w:val="00541C35"/>
    <w:rsid w:val="00544158"/>
    <w:rsid w:val="00547AE5"/>
    <w:rsid w:val="0055176D"/>
    <w:rsid w:val="0055438D"/>
    <w:rsid w:val="00555E1C"/>
    <w:rsid w:val="00560A13"/>
    <w:rsid w:val="00560E95"/>
    <w:rsid w:val="00562068"/>
    <w:rsid w:val="005667B0"/>
    <w:rsid w:val="0057205B"/>
    <w:rsid w:val="005757BF"/>
    <w:rsid w:val="00583071"/>
    <w:rsid w:val="0058715B"/>
    <w:rsid w:val="0059120E"/>
    <w:rsid w:val="0059175F"/>
    <w:rsid w:val="00592020"/>
    <w:rsid w:val="00594F14"/>
    <w:rsid w:val="00595C78"/>
    <w:rsid w:val="00597AA1"/>
    <w:rsid w:val="005A52B7"/>
    <w:rsid w:val="005A6DE5"/>
    <w:rsid w:val="005A7633"/>
    <w:rsid w:val="005D3AB7"/>
    <w:rsid w:val="005D4AC8"/>
    <w:rsid w:val="005D6567"/>
    <w:rsid w:val="005E0143"/>
    <w:rsid w:val="005E11F2"/>
    <w:rsid w:val="005E2C0C"/>
    <w:rsid w:val="005E30E0"/>
    <w:rsid w:val="006037F9"/>
    <w:rsid w:val="00607410"/>
    <w:rsid w:val="006126EB"/>
    <w:rsid w:val="006147DF"/>
    <w:rsid w:val="00616037"/>
    <w:rsid w:val="00616B0E"/>
    <w:rsid w:val="006200CC"/>
    <w:rsid w:val="00623E54"/>
    <w:rsid w:val="00624127"/>
    <w:rsid w:val="00625048"/>
    <w:rsid w:val="006253F7"/>
    <w:rsid w:val="00633D55"/>
    <w:rsid w:val="00644881"/>
    <w:rsid w:val="0064787F"/>
    <w:rsid w:val="00647E55"/>
    <w:rsid w:val="00654C6B"/>
    <w:rsid w:val="006571AB"/>
    <w:rsid w:val="0065738F"/>
    <w:rsid w:val="0066120B"/>
    <w:rsid w:val="00682B84"/>
    <w:rsid w:val="00683DA5"/>
    <w:rsid w:val="00690946"/>
    <w:rsid w:val="00691B86"/>
    <w:rsid w:val="00692C3D"/>
    <w:rsid w:val="00696058"/>
    <w:rsid w:val="006A27FA"/>
    <w:rsid w:val="006A46C0"/>
    <w:rsid w:val="006A577B"/>
    <w:rsid w:val="006C3ACA"/>
    <w:rsid w:val="006C5E89"/>
    <w:rsid w:val="006C6392"/>
    <w:rsid w:val="006D2758"/>
    <w:rsid w:val="006D2FAE"/>
    <w:rsid w:val="006D5592"/>
    <w:rsid w:val="006D6CF9"/>
    <w:rsid w:val="006E15AE"/>
    <w:rsid w:val="006E5CC4"/>
    <w:rsid w:val="006F44CD"/>
    <w:rsid w:val="006F6803"/>
    <w:rsid w:val="006F7A8E"/>
    <w:rsid w:val="00702291"/>
    <w:rsid w:val="00702F38"/>
    <w:rsid w:val="0070477F"/>
    <w:rsid w:val="007217CC"/>
    <w:rsid w:val="00725DA6"/>
    <w:rsid w:val="0073104A"/>
    <w:rsid w:val="0073192A"/>
    <w:rsid w:val="0073210D"/>
    <w:rsid w:val="00733072"/>
    <w:rsid w:val="00737861"/>
    <w:rsid w:val="00740E0D"/>
    <w:rsid w:val="00741B29"/>
    <w:rsid w:val="00743DEA"/>
    <w:rsid w:val="00744195"/>
    <w:rsid w:val="00744DAC"/>
    <w:rsid w:val="00750B8B"/>
    <w:rsid w:val="00750D67"/>
    <w:rsid w:val="0075691B"/>
    <w:rsid w:val="00762252"/>
    <w:rsid w:val="007624B7"/>
    <w:rsid w:val="00762C96"/>
    <w:rsid w:val="007736E5"/>
    <w:rsid w:val="00775445"/>
    <w:rsid w:val="00783C98"/>
    <w:rsid w:val="0078459F"/>
    <w:rsid w:val="0078578A"/>
    <w:rsid w:val="00794500"/>
    <w:rsid w:val="007948B2"/>
    <w:rsid w:val="007A3E77"/>
    <w:rsid w:val="007A5E79"/>
    <w:rsid w:val="007A71F6"/>
    <w:rsid w:val="007B13E9"/>
    <w:rsid w:val="007B2041"/>
    <w:rsid w:val="007B2712"/>
    <w:rsid w:val="007B625D"/>
    <w:rsid w:val="007C1380"/>
    <w:rsid w:val="007C38F8"/>
    <w:rsid w:val="007C6A02"/>
    <w:rsid w:val="007D1518"/>
    <w:rsid w:val="007D2A34"/>
    <w:rsid w:val="007D44EB"/>
    <w:rsid w:val="007D4EFC"/>
    <w:rsid w:val="007D552B"/>
    <w:rsid w:val="007D6E33"/>
    <w:rsid w:val="007D6EB7"/>
    <w:rsid w:val="007E2B37"/>
    <w:rsid w:val="007E6871"/>
    <w:rsid w:val="007E7EA3"/>
    <w:rsid w:val="007F611F"/>
    <w:rsid w:val="008025A8"/>
    <w:rsid w:val="00815EC4"/>
    <w:rsid w:val="008162F9"/>
    <w:rsid w:val="0082071A"/>
    <w:rsid w:val="0082235E"/>
    <w:rsid w:val="00822400"/>
    <w:rsid w:val="00841516"/>
    <w:rsid w:val="008416D6"/>
    <w:rsid w:val="00841ED6"/>
    <w:rsid w:val="0084228B"/>
    <w:rsid w:val="008432F9"/>
    <w:rsid w:val="00846F24"/>
    <w:rsid w:val="008474B2"/>
    <w:rsid w:val="00847B12"/>
    <w:rsid w:val="00851069"/>
    <w:rsid w:val="00865E75"/>
    <w:rsid w:val="00875542"/>
    <w:rsid w:val="008755D8"/>
    <w:rsid w:val="00875751"/>
    <w:rsid w:val="00877269"/>
    <w:rsid w:val="00884522"/>
    <w:rsid w:val="00885484"/>
    <w:rsid w:val="00887348"/>
    <w:rsid w:val="008A05F1"/>
    <w:rsid w:val="008A1E33"/>
    <w:rsid w:val="008A45EF"/>
    <w:rsid w:val="008A6C62"/>
    <w:rsid w:val="008A71B5"/>
    <w:rsid w:val="008C3B84"/>
    <w:rsid w:val="008C68A2"/>
    <w:rsid w:val="008C78F4"/>
    <w:rsid w:val="008D14DE"/>
    <w:rsid w:val="008E448A"/>
    <w:rsid w:val="008E5204"/>
    <w:rsid w:val="008E7240"/>
    <w:rsid w:val="008F3062"/>
    <w:rsid w:val="008F5F47"/>
    <w:rsid w:val="008F64EB"/>
    <w:rsid w:val="00901C56"/>
    <w:rsid w:val="0090247A"/>
    <w:rsid w:val="009056A2"/>
    <w:rsid w:val="00905FBF"/>
    <w:rsid w:val="00912C90"/>
    <w:rsid w:val="009178CC"/>
    <w:rsid w:val="00923907"/>
    <w:rsid w:val="00923C0A"/>
    <w:rsid w:val="00924A8B"/>
    <w:rsid w:val="00931DA5"/>
    <w:rsid w:val="00935051"/>
    <w:rsid w:val="0093621D"/>
    <w:rsid w:val="0093695D"/>
    <w:rsid w:val="009434AF"/>
    <w:rsid w:val="00943F47"/>
    <w:rsid w:val="009501A8"/>
    <w:rsid w:val="00950B2C"/>
    <w:rsid w:val="00950CD7"/>
    <w:rsid w:val="00955F99"/>
    <w:rsid w:val="00957ECB"/>
    <w:rsid w:val="00961254"/>
    <w:rsid w:val="00965382"/>
    <w:rsid w:val="00973A41"/>
    <w:rsid w:val="00976DAA"/>
    <w:rsid w:val="00977396"/>
    <w:rsid w:val="009824B3"/>
    <w:rsid w:val="00990A77"/>
    <w:rsid w:val="00996E19"/>
    <w:rsid w:val="009B0522"/>
    <w:rsid w:val="009C4864"/>
    <w:rsid w:val="009D3858"/>
    <w:rsid w:val="009D5D20"/>
    <w:rsid w:val="009D781D"/>
    <w:rsid w:val="009E15BE"/>
    <w:rsid w:val="009E27BE"/>
    <w:rsid w:val="009E43FD"/>
    <w:rsid w:val="009E78B5"/>
    <w:rsid w:val="009F3401"/>
    <w:rsid w:val="009F3A13"/>
    <w:rsid w:val="009F3ABB"/>
    <w:rsid w:val="009F48BB"/>
    <w:rsid w:val="00A01FF8"/>
    <w:rsid w:val="00A048C3"/>
    <w:rsid w:val="00A04D0A"/>
    <w:rsid w:val="00A06E72"/>
    <w:rsid w:val="00A128B8"/>
    <w:rsid w:val="00A15942"/>
    <w:rsid w:val="00A159E4"/>
    <w:rsid w:val="00A2138A"/>
    <w:rsid w:val="00A26E5F"/>
    <w:rsid w:val="00A3222F"/>
    <w:rsid w:val="00A34526"/>
    <w:rsid w:val="00A34AB1"/>
    <w:rsid w:val="00A34ADE"/>
    <w:rsid w:val="00A3674B"/>
    <w:rsid w:val="00A3752C"/>
    <w:rsid w:val="00A40357"/>
    <w:rsid w:val="00A5113A"/>
    <w:rsid w:val="00A513FE"/>
    <w:rsid w:val="00A52DCF"/>
    <w:rsid w:val="00A54C51"/>
    <w:rsid w:val="00A603BF"/>
    <w:rsid w:val="00A6188D"/>
    <w:rsid w:val="00A671D6"/>
    <w:rsid w:val="00A80EED"/>
    <w:rsid w:val="00A836B5"/>
    <w:rsid w:val="00A84284"/>
    <w:rsid w:val="00A90A88"/>
    <w:rsid w:val="00A93AD5"/>
    <w:rsid w:val="00A93E86"/>
    <w:rsid w:val="00A94B35"/>
    <w:rsid w:val="00A97BC5"/>
    <w:rsid w:val="00AA3B9B"/>
    <w:rsid w:val="00AB0BD8"/>
    <w:rsid w:val="00AB476D"/>
    <w:rsid w:val="00AB4FA1"/>
    <w:rsid w:val="00AC1411"/>
    <w:rsid w:val="00AD16A7"/>
    <w:rsid w:val="00AD3B6B"/>
    <w:rsid w:val="00AD5E2D"/>
    <w:rsid w:val="00AE0A5C"/>
    <w:rsid w:val="00AE2006"/>
    <w:rsid w:val="00AE29CD"/>
    <w:rsid w:val="00AE3FED"/>
    <w:rsid w:val="00AE5BA0"/>
    <w:rsid w:val="00AE5FE0"/>
    <w:rsid w:val="00AF0B97"/>
    <w:rsid w:val="00AF1919"/>
    <w:rsid w:val="00B05FAC"/>
    <w:rsid w:val="00B060EF"/>
    <w:rsid w:val="00B20EE2"/>
    <w:rsid w:val="00B22696"/>
    <w:rsid w:val="00B22AF6"/>
    <w:rsid w:val="00B23314"/>
    <w:rsid w:val="00B23C40"/>
    <w:rsid w:val="00B31FC3"/>
    <w:rsid w:val="00B33B81"/>
    <w:rsid w:val="00B33D16"/>
    <w:rsid w:val="00B352FE"/>
    <w:rsid w:val="00B400C1"/>
    <w:rsid w:val="00B41796"/>
    <w:rsid w:val="00B41B4E"/>
    <w:rsid w:val="00B42DED"/>
    <w:rsid w:val="00B472E5"/>
    <w:rsid w:val="00B54FDB"/>
    <w:rsid w:val="00B558FE"/>
    <w:rsid w:val="00B56941"/>
    <w:rsid w:val="00B630BF"/>
    <w:rsid w:val="00B63291"/>
    <w:rsid w:val="00B75C79"/>
    <w:rsid w:val="00B80CB5"/>
    <w:rsid w:val="00B83E81"/>
    <w:rsid w:val="00B843E8"/>
    <w:rsid w:val="00B84E1C"/>
    <w:rsid w:val="00B87255"/>
    <w:rsid w:val="00B91DD6"/>
    <w:rsid w:val="00B91F19"/>
    <w:rsid w:val="00B92639"/>
    <w:rsid w:val="00B92D31"/>
    <w:rsid w:val="00B961C6"/>
    <w:rsid w:val="00B96CD4"/>
    <w:rsid w:val="00B97C6F"/>
    <w:rsid w:val="00BA1316"/>
    <w:rsid w:val="00BA58F5"/>
    <w:rsid w:val="00BB0E31"/>
    <w:rsid w:val="00BB355A"/>
    <w:rsid w:val="00BB4419"/>
    <w:rsid w:val="00BB5353"/>
    <w:rsid w:val="00BC5ACF"/>
    <w:rsid w:val="00BD0EE9"/>
    <w:rsid w:val="00BD6C76"/>
    <w:rsid w:val="00BD7077"/>
    <w:rsid w:val="00BE1321"/>
    <w:rsid w:val="00BE5887"/>
    <w:rsid w:val="00BE5DD6"/>
    <w:rsid w:val="00BE7D8D"/>
    <w:rsid w:val="00BF16CB"/>
    <w:rsid w:val="00BF66FA"/>
    <w:rsid w:val="00C029ED"/>
    <w:rsid w:val="00C03AD2"/>
    <w:rsid w:val="00C048C9"/>
    <w:rsid w:val="00C06118"/>
    <w:rsid w:val="00C16942"/>
    <w:rsid w:val="00C20214"/>
    <w:rsid w:val="00C22B98"/>
    <w:rsid w:val="00C23174"/>
    <w:rsid w:val="00C23E84"/>
    <w:rsid w:val="00C33DAE"/>
    <w:rsid w:val="00C36385"/>
    <w:rsid w:val="00C367DE"/>
    <w:rsid w:val="00C409FC"/>
    <w:rsid w:val="00C419C7"/>
    <w:rsid w:val="00C436A8"/>
    <w:rsid w:val="00C4588F"/>
    <w:rsid w:val="00C46244"/>
    <w:rsid w:val="00C519AB"/>
    <w:rsid w:val="00C56942"/>
    <w:rsid w:val="00C60495"/>
    <w:rsid w:val="00C61DB4"/>
    <w:rsid w:val="00C64F61"/>
    <w:rsid w:val="00C6573A"/>
    <w:rsid w:val="00C72F16"/>
    <w:rsid w:val="00C73E04"/>
    <w:rsid w:val="00C77F3E"/>
    <w:rsid w:val="00C803C4"/>
    <w:rsid w:val="00C81DD6"/>
    <w:rsid w:val="00C964CE"/>
    <w:rsid w:val="00C96E68"/>
    <w:rsid w:val="00CA1441"/>
    <w:rsid w:val="00CA1721"/>
    <w:rsid w:val="00CA2859"/>
    <w:rsid w:val="00CA35A7"/>
    <w:rsid w:val="00CA5246"/>
    <w:rsid w:val="00CA62D6"/>
    <w:rsid w:val="00CC18A0"/>
    <w:rsid w:val="00CD0766"/>
    <w:rsid w:val="00CD3D77"/>
    <w:rsid w:val="00CD70F3"/>
    <w:rsid w:val="00CD7496"/>
    <w:rsid w:val="00CE0EA9"/>
    <w:rsid w:val="00CE798F"/>
    <w:rsid w:val="00CF1DDC"/>
    <w:rsid w:val="00D00BCB"/>
    <w:rsid w:val="00D0556C"/>
    <w:rsid w:val="00D05D23"/>
    <w:rsid w:val="00D135F1"/>
    <w:rsid w:val="00D30908"/>
    <w:rsid w:val="00D368D5"/>
    <w:rsid w:val="00D404B4"/>
    <w:rsid w:val="00D41E44"/>
    <w:rsid w:val="00D4254C"/>
    <w:rsid w:val="00D438A0"/>
    <w:rsid w:val="00D71B05"/>
    <w:rsid w:val="00D735A7"/>
    <w:rsid w:val="00D75E61"/>
    <w:rsid w:val="00D82202"/>
    <w:rsid w:val="00D82745"/>
    <w:rsid w:val="00D82C9B"/>
    <w:rsid w:val="00D90905"/>
    <w:rsid w:val="00D90964"/>
    <w:rsid w:val="00D94AA5"/>
    <w:rsid w:val="00D95CF1"/>
    <w:rsid w:val="00D97211"/>
    <w:rsid w:val="00DA0284"/>
    <w:rsid w:val="00DA309C"/>
    <w:rsid w:val="00DB3298"/>
    <w:rsid w:val="00DB59BE"/>
    <w:rsid w:val="00DB6A25"/>
    <w:rsid w:val="00DC5341"/>
    <w:rsid w:val="00DC6630"/>
    <w:rsid w:val="00DC7297"/>
    <w:rsid w:val="00DC7D6E"/>
    <w:rsid w:val="00DD396D"/>
    <w:rsid w:val="00DE0FD4"/>
    <w:rsid w:val="00DE50F2"/>
    <w:rsid w:val="00DF2945"/>
    <w:rsid w:val="00DF3BC9"/>
    <w:rsid w:val="00E015D0"/>
    <w:rsid w:val="00E02890"/>
    <w:rsid w:val="00E035DC"/>
    <w:rsid w:val="00E05FB1"/>
    <w:rsid w:val="00E06E98"/>
    <w:rsid w:val="00E13A6D"/>
    <w:rsid w:val="00E1763F"/>
    <w:rsid w:val="00E2114F"/>
    <w:rsid w:val="00E236E5"/>
    <w:rsid w:val="00E237DC"/>
    <w:rsid w:val="00E258B8"/>
    <w:rsid w:val="00E30A40"/>
    <w:rsid w:val="00E34748"/>
    <w:rsid w:val="00E4134B"/>
    <w:rsid w:val="00E45E90"/>
    <w:rsid w:val="00E516E3"/>
    <w:rsid w:val="00E53924"/>
    <w:rsid w:val="00E5575B"/>
    <w:rsid w:val="00E61D68"/>
    <w:rsid w:val="00E677F8"/>
    <w:rsid w:val="00E77F79"/>
    <w:rsid w:val="00E8000E"/>
    <w:rsid w:val="00E801CA"/>
    <w:rsid w:val="00E83A82"/>
    <w:rsid w:val="00E84DE4"/>
    <w:rsid w:val="00E87033"/>
    <w:rsid w:val="00E903EC"/>
    <w:rsid w:val="00E90761"/>
    <w:rsid w:val="00E9368C"/>
    <w:rsid w:val="00E9427F"/>
    <w:rsid w:val="00E97B38"/>
    <w:rsid w:val="00EA40CC"/>
    <w:rsid w:val="00EA5E78"/>
    <w:rsid w:val="00EA6230"/>
    <w:rsid w:val="00EA6620"/>
    <w:rsid w:val="00EB0ED8"/>
    <w:rsid w:val="00EB2F7F"/>
    <w:rsid w:val="00EC102C"/>
    <w:rsid w:val="00EC3E2E"/>
    <w:rsid w:val="00EC3E6C"/>
    <w:rsid w:val="00EC4859"/>
    <w:rsid w:val="00EC4904"/>
    <w:rsid w:val="00EC59B2"/>
    <w:rsid w:val="00EC7BBE"/>
    <w:rsid w:val="00ED13F8"/>
    <w:rsid w:val="00ED4B12"/>
    <w:rsid w:val="00ED4DF8"/>
    <w:rsid w:val="00ED668A"/>
    <w:rsid w:val="00EE0C5D"/>
    <w:rsid w:val="00EE5010"/>
    <w:rsid w:val="00EE5727"/>
    <w:rsid w:val="00EF04F5"/>
    <w:rsid w:val="00EF06EA"/>
    <w:rsid w:val="00EF4CFE"/>
    <w:rsid w:val="00EF51BA"/>
    <w:rsid w:val="00F00367"/>
    <w:rsid w:val="00F029A1"/>
    <w:rsid w:val="00F066D6"/>
    <w:rsid w:val="00F07B00"/>
    <w:rsid w:val="00F10835"/>
    <w:rsid w:val="00F11C39"/>
    <w:rsid w:val="00F12610"/>
    <w:rsid w:val="00F20C00"/>
    <w:rsid w:val="00F21B6E"/>
    <w:rsid w:val="00F226D2"/>
    <w:rsid w:val="00F22C9C"/>
    <w:rsid w:val="00F27E34"/>
    <w:rsid w:val="00F3096A"/>
    <w:rsid w:val="00F34017"/>
    <w:rsid w:val="00F46569"/>
    <w:rsid w:val="00F4731A"/>
    <w:rsid w:val="00F50DA8"/>
    <w:rsid w:val="00F51152"/>
    <w:rsid w:val="00F62FDD"/>
    <w:rsid w:val="00F636CC"/>
    <w:rsid w:val="00F64C59"/>
    <w:rsid w:val="00F72464"/>
    <w:rsid w:val="00F80CE6"/>
    <w:rsid w:val="00F85233"/>
    <w:rsid w:val="00F8532F"/>
    <w:rsid w:val="00F95CED"/>
    <w:rsid w:val="00FA060B"/>
    <w:rsid w:val="00FA64D0"/>
    <w:rsid w:val="00FA651E"/>
    <w:rsid w:val="00FB1BB8"/>
    <w:rsid w:val="00FB76C3"/>
    <w:rsid w:val="00FC2DE4"/>
    <w:rsid w:val="00FC3DB9"/>
    <w:rsid w:val="00FC56F3"/>
    <w:rsid w:val="00FC5F32"/>
    <w:rsid w:val="00FD4E26"/>
    <w:rsid w:val="00FD5F52"/>
    <w:rsid w:val="00FD719C"/>
    <w:rsid w:val="00FE5634"/>
    <w:rsid w:val="00FE6E88"/>
    <w:rsid w:val="00FF4EE4"/>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343F4"/>
  <w15:docId w15:val="{B7F51C82-42F8-47F7-8287-983BBF09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419"/>
    <w:pPr>
      <w:spacing w:line="280" w:lineRule="atLeast"/>
    </w:pPr>
    <w:rPr>
      <w:rFonts w:ascii="Poppins Light" w:hAnsi="Poppins Light" w:cs="Arial"/>
    </w:r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3EC"/>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qFormat/>
    <w:rsid w:val="00F00367"/>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7"/>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1E1DE0"/>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uiPriority w:val="9"/>
    <w:rsid w:val="00762252"/>
    <w:pPr>
      <w:spacing w:line="1560" w:lineRule="exact"/>
    </w:pPr>
    <w:rPr>
      <w:b/>
      <w:color w:val="FFFFFF" w:themeColor="background1"/>
      <w:sz w:val="130"/>
      <w:szCs w:val="130"/>
    </w:rPr>
  </w:style>
  <w:style w:type="paragraph" w:customStyle="1" w:styleId="HWMainTitle2">
    <w:name w:val="HW Main Title 2"/>
    <w:basedOn w:val="Normal"/>
    <w:uiPriority w:val="9"/>
    <w:rsid w:val="00762252"/>
    <w:pPr>
      <w:spacing w:line="440" w:lineRule="exact"/>
    </w:pPr>
    <w:rPr>
      <w:color w:val="FFFFFF" w:themeColor="background1"/>
      <w:sz w:val="3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423868"/>
    <w:pPr>
      <w:tabs>
        <w:tab w:val="right" w:leader="dot" w:pos="8080"/>
      </w:tabs>
      <w:spacing w:after="160"/>
    </w:pPr>
    <w:rPr>
      <w:b/>
      <w:noProof/>
      <w:color w:val="004C6B" w:themeColor="text1"/>
      <w:sz w:val="24"/>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uiPriority w:val="1"/>
    <w:qFormat/>
    <w:rsid w:val="00990A77"/>
    <w:pPr>
      <w:spacing w:after="480" w:line="1000" w:lineRule="exact"/>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F00367"/>
    <w:rPr>
      <w:sz w:val="30"/>
    </w:rPr>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F00367"/>
    <w:rPr>
      <w:sz w:val="24"/>
    </w:rPr>
  </w:style>
  <w:style w:type="paragraph" w:customStyle="1" w:styleId="HWStoryText">
    <w:name w:val="HW Story Text"/>
    <w:basedOn w:val="HWStoryTextQuote"/>
    <w:next w:val="HWStoryAttribution"/>
    <w:uiPriority w:val="9"/>
    <w:qFormat/>
    <w:rsid w:val="00E903EC"/>
    <w:pPr>
      <w:ind w:left="0" w:right="284"/>
    </w:p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E45E90"/>
    <w:pPr>
      <w:shd w:val="clear" w:color="auto" w:fill="FDF0D8" w:themeFill="accent3" w:themeFillTint="33"/>
      <w:ind w:left="567" w:right="567"/>
    </w:pPr>
    <w:rPr>
      <w:color w:val="5F5F5F" w:themeColor="text2" w:themeShade="80"/>
    </w:rPr>
  </w:style>
  <w:style w:type="paragraph" w:customStyle="1" w:styleId="HWBlank">
    <w:name w:val="HW Blank"/>
    <w:basedOn w:val="HWNormalText"/>
    <w:uiPriority w:val="9"/>
    <w:qFormat/>
    <w:rsid w:val="00633D55"/>
    <w:pPr>
      <w:spacing w:after="0" w:line="120" w:lineRule="exact"/>
    </w:pPr>
  </w:style>
  <w:style w:type="paragraph" w:customStyle="1" w:styleId="HWBigNumber">
    <w:name w:val="HW Big Number"/>
    <w:basedOn w:val="HWNormalText"/>
    <w:next w:val="HWNormalText"/>
    <w:uiPriority w:val="9"/>
    <w:qFormat/>
    <w:rsid w:val="00E903EC"/>
    <w:pPr>
      <w:tabs>
        <w:tab w:val="center" w:pos="6663"/>
      </w:tabs>
      <w:spacing w:before="1000" w:after="0" w:line="240" w:lineRule="auto"/>
      <w:ind w:left="-57" w:right="-57"/>
    </w:pPr>
    <w:rPr>
      <w:b/>
      <w:noProof/>
      <w:sz w:val="80"/>
      <w:lang w:eastAsia="en-GB"/>
    </w:rPr>
  </w:style>
  <w:style w:type="paragraph" w:customStyle="1" w:styleId="HWChart">
    <w:name w:val="HW Chart"/>
    <w:basedOn w:val="HWNormalText"/>
    <w:next w:val="HWNormalText"/>
    <w:uiPriority w:val="9"/>
    <w:qFormat/>
    <w:rsid w:val="00F62FDD"/>
    <w:pPr>
      <w:spacing w:line="240" w:lineRule="atLeast"/>
    </w:pPr>
    <w:rPr>
      <w:noProof/>
      <w:lang w:eastAsia="en-GB"/>
    </w:rPr>
  </w:style>
  <w:style w:type="paragraph" w:customStyle="1" w:styleId="HWEndPage1">
    <w:name w:val="HW End Page 1"/>
    <w:basedOn w:val="HWNormalText"/>
    <w:next w:val="HWEndPage2"/>
    <w:uiPriority w:val="9"/>
    <w:rsid w:val="00851069"/>
    <w:pPr>
      <w:spacing w:before="4080" w:after="0"/>
    </w:pPr>
    <w:rPr>
      <w:b/>
      <w:color w:val="FFFFFF" w:themeColor="background1"/>
    </w:rPr>
  </w:style>
  <w:style w:type="paragraph" w:customStyle="1" w:styleId="HWEndPage2">
    <w:name w:val="HW End Page 2"/>
    <w:basedOn w:val="HWNormalText"/>
    <w:uiPriority w:val="9"/>
    <w:rsid w:val="006147DF"/>
    <w:pPr>
      <w:spacing w:after="0" w:line="260" w:lineRule="exact"/>
    </w:pPr>
    <w:rPr>
      <w:b/>
      <w:color w:val="FFFFFF" w:themeColor="background1"/>
    </w:rPr>
  </w:style>
  <w:style w:type="paragraph" w:customStyle="1" w:styleId="HWEndPage3">
    <w:name w:val="HW End Page 3"/>
    <w:basedOn w:val="HWNormalText"/>
    <w:uiPriority w:val="9"/>
    <w:rsid w:val="006147DF"/>
    <w:pPr>
      <w:spacing w:after="0" w:line="260" w:lineRule="exact"/>
    </w:pPr>
    <w:rPr>
      <w:b/>
      <w:color w:val="FFFFFF" w:themeColor="background1"/>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Title">
    <w:name w:val="HW Story Title"/>
    <w:basedOn w:val="HWNormalText"/>
    <w:uiPriority w:val="9"/>
    <w:qFormat/>
    <w:rsid w:val="004D2EC8"/>
    <w:pPr>
      <w:spacing w:after="0" w:line="245" w:lineRule="auto"/>
    </w:pPr>
    <w:rPr>
      <w:b/>
      <w:color w:val="004C6B" w:themeColor="text1"/>
      <w:sz w:val="28"/>
    </w:rPr>
  </w:style>
  <w:style w:type="paragraph" w:customStyle="1" w:styleId="HWStoryTextQuote">
    <w:name w:val="HW Story Text Quote"/>
    <w:basedOn w:val="HWNormalText"/>
    <w:next w:val="HWStoryAttribution"/>
    <w:uiPriority w:val="9"/>
    <w:qFormat/>
    <w:rsid w:val="004D2EC8"/>
    <w:pPr>
      <w:spacing w:line="192" w:lineRule="auto"/>
      <w:ind w:left="1474" w:right="1701"/>
    </w:pPr>
    <w:rPr>
      <w:color w:val="004C6B" w:themeColor="text1"/>
      <w:sz w:val="28"/>
    </w:rPr>
  </w:style>
  <w:style w:type="paragraph" w:customStyle="1" w:styleId="HWStoryAttribution">
    <w:name w:val="HW Story Attribution"/>
    <w:basedOn w:val="HWNormalText"/>
    <w:uiPriority w:val="9"/>
    <w:qFormat/>
    <w:rsid w:val="004D2EC8"/>
    <w:pPr>
      <w:spacing w:after="0" w:line="288" w:lineRule="auto"/>
      <w:ind w:left="1474" w:right="1701"/>
    </w:pPr>
    <w:rPr>
      <w:b/>
      <w:color w:val="004C6B" w:themeColor="text1"/>
    </w:rPr>
  </w:style>
  <w:style w:type="paragraph" w:customStyle="1" w:styleId="HWStoryBullets">
    <w:name w:val="HW Story Bullets"/>
    <w:basedOn w:val="HWStoryTextQuote"/>
    <w:uiPriority w:val="9"/>
    <w:qFormat/>
    <w:rsid w:val="00E903EC"/>
    <w:pPr>
      <w:numPr>
        <w:numId w:val="17"/>
      </w:numPr>
      <w:spacing w:after="0" w:line="240" w:lineRule="auto"/>
      <w:ind w:left="567" w:right="567" w:hanging="567"/>
    </w:p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Green">
    <w:name w:val="HW Story (Green)"/>
    <w:basedOn w:val="HWStoryBlue"/>
    <w:uiPriority w:val="99"/>
    <w:qFormat/>
    <w:rsid w:val="00E903EC"/>
    <w:tblPr/>
    <w:tcPr>
      <w:shd w:val="clear" w:color="auto" w:fill="E7F2CC"/>
    </w:tcPr>
    <w:tblStylePr w:type="firstRow">
      <w:tblPr/>
      <w:tcPr>
        <w:tcBorders>
          <w:top w:val="nil"/>
          <w:left w:val="nil"/>
          <w:bottom w:val="single" w:sz="4" w:space="0" w:color="004C6B" w:themeColor="text1"/>
          <w:right w:val="nil"/>
          <w:insideH w:val="nil"/>
          <w:insideV w:val="nil"/>
          <w:tl2br w:val="nil"/>
          <w:tr2bl w:val="nil"/>
        </w:tcBorders>
        <w:shd w:val="clear" w:color="auto" w:fill="E7F2CC"/>
      </w:tcPr>
    </w:tblStylePr>
  </w:style>
  <w:style w:type="paragraph" w:styleId="IntenseQuote">
    <w:name w:val="Intense Quote"/>
    <w:basedOn w:val="Normal"/>
    <w:next w:val="Normal"/>
    <w:link w:val="IntenseQuoteChar"/>
    <w:uiPriority w:val="6"/>
    <w:qFormat/>
    <w:rsid w:val="00CA5246"/>
    <w:pPr>
      <w:pBdr>
        <w:top w:val="single" w:sz="4" w:space="10" w:color="E73E97" w:themeColor="accent1"/>
        <w:bottom w:val="single" w:sz="4" w:space="10" w:color="E73E97" w:themeColor="accent1"/>
      </w:pBdr>
      <w:spacing w:before="360" w:after="360"/>
      <w:ind w:left="864" w:right="864"/>
      <w:jc w:val="center"/>
    </w:pPr>
    <w:rPr>
      <w:i/>
      <w:iCs/>
      <w:color w:val="E73E97" w:themeColor="accent1"/>
    </w:rPr>
  </w:style>
  <w:style w:type="character" w:customStyle="1" w:styleId="IntenseQuoteChar">
    <w:name w:val="Intense Quote Char"/>
    <w:basedOn w:val="DefaultParagraphFont"/>
    <w:link w:val="IntenseQuote"/>
    <w:uiPriority w:val="6"/>
    <w:rsid w:val="00CA5246"/>
    <w:rPr>
      <w:rFonts w:ascii="Poppins Light" w:hAnsi="Poppins Light" w:cs="Arial"/>
      <w:i/>
      <w:iCs/>
      <w:color w:val="E73E97" w:themeColor="accent1"/>
    </w:rPr>
  </w:style>
  <w:style w:type="character" w:styleId="Strong">
    <w:name w:val="Strong"/>
    <w:basedOn w:val="DefaultParagraphFont"/>
    <w:uiPriority w:val="22"/>
    <w:qFormat/>
    <w:rsid w:val="001C0419"/>
    <w:rPr>
      <w:b/>
      <w:bCs/>
    </w:rPr>
  </w:style>
  <w:style w:type="paragraph" w:styleId="ListParagraph">
    <w:name w:val="List Paragraph"/>
    <w:basedOn w:val="Normal"/>
    <w:uiPriority w:val="34"/>
    <w:qFormat/>
    <w:rsid w:val="001C0419"/>
    <w:pPr>
      <w:ind w:left="720"/>
      <w:contextualSpacing/>
    </w:pPr>
  </w:style>
  <w:style w:type="character" w:styleId="IntenseEmphasis">
    <w:name w:val="Intense Emphasis"/>
    <w:basedOn w:val="DefaultParagraphFont"/>
    <w:uiPriority w:val="21"/>
    <w:qFormat/>
    <w:rsid w:val="001C0419"/>
    <w:rPr>
      <w:i/>
      <w:iCs/>
      <w:color w:val="E73E97" w:themeColor="accent1"/>
    </w:rPr>
  </w:style>
  <w:style w:type="paragraph" w:styleId="Quote">
    <w:name w:val="Quote"/>
    <w:basedOn w:val="Normal"/>
    <w:next w:val="Normal"/>
    <w:link w:val="QuoteChar"/>
    <w:uiPriority w:val="29"/>
    <w:qFormat/>
    <w:rsid w:val="00313417"/>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line="240" w:lineRule="auto"/>
    </w:pPr>
    <w:rPr>
      <w:rFonts w:asciiTheme="minorHAnsi" w:hAnsiTheme="minorHAnsi" w:cstheme="minorBidi"/>
      <w:color w:val="004C6B" w:themeColor="text1"/>
      <w:sz w:val="28"/>
      <w:szCs w:val="28"/>
    </w:rPr>
  </w:style>
  <w:style w:type="character" w:customStyle="1" w:styleId="QuoteChar">
    <w:name w:val="Quote Char"/>
    <w:basedOn w:val="DefaultParagraphFont"/>
    <w:link w:val="Quote"/>
    <w:uiPriority w:val="29"/>
    <w:rsid w:val="00313417"/>
    <w:rPr>
      <w:rFonts w:asciiTheme="minorHAnsi" w:hAnsiTheme="minorHAnsi" w:cstheme="minorBidi"/>
      <w:color w:val="004C6B" w:themeColor="text1"/>
      <w:sz w:val="28"/>
      <w:szCs w:val="28"/>
      <w:shd w:val="clear" w:color="auto" w:fill="FDF0D8" w:themeFill="accent3" w:themeFillTint="33"/>
    </w:rPr>
  </w:style>
  <w:style w:type="character" w:styleId="Emphasis">
    <w:name w:val="Emphasis"/>
    <w:basedOn w:val="DefaultParagraphFont"/>
    <w:uiPriority w:val="20"/>
    <w:qFormat/>
    <w:rsid w:val="00455CE1"/>
    <w:rPr>
      <w:i/>
      <w:iCs/>
    </w:rPr>
  </w:style>
  <w:style w:type="paragraph" w:styleId="Title">
    <w:name w:val="Title"/>
    <w:basedOn w:val="Normal"/>
    <w:next w:val="Normal"/>
    <w:link w:val="TitleChar"/>
    <w:uiPriority w:val="10"/>
    <w:qFormat/>
    <w:rsid w:val="00455CE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7BC5"/>
    <w:rPr>
      <w:color w:val="A81563" w:themeColor="hyperlink"/>
      <w:u w:val="single"/>
    </w:rPr>
  </w:style>
  <w:style w:type="character" w:styleId="UnresolvedMention">
    <w:name w:val="Unresolved Mention"/>
    <w:basedOn w:val="DefaultParagraphFont"/>
    <w:uiPriority w:val="99"/>
    <w:semiHidden/>
    <w:unhideWhenUsed/>
    <w:rsid w:val="000D12A5"/>
    <w:rPr>
      <w:color w:val="605E5C"/>
      <w:shd w:val="clear" w:color="auto" w:fill="E1DFDD"/>
    </w:rPr>
  </w:style>
  <w:style w:type="character" w:styleId="CommentReference">
    <w:name w:val="annotation reference"/>
    <w:basedOn w:val="DefaultParagraphFont"/>
    <w:uiPriority w:val="99"/>
    <w:semiHidden/>
    <w:unhideWhenUsed/>
    <w:rsid w:val="00F72464"/>
    <w:rPr>
      <w:sz w:val="16"/>
      <w:szCs w:val="16"/>
    </w:rPr>
  </w:style>
  <w:style w:type="paragraph" w:styleId="CommentText">
    <w:name w:val="annotation text"/>
    <w:basedOn w:val="Normal"/>
    <w:link w:val="CommentTextChar"/>
    <w:uiPriority w:val="99"/>
    <w:unhideWhenUsed/>
    <w:rsid w:val="00F72464"/>
    <w:pPr>
      <w:spacing w:line="240" w:lineRule="auto"/>
    </w:pPr>
  </w:style>
  <w:style w:type="character" w:customStyle="1" w:styleId="CommentTextChar">
    <w:name w:val="Comment Text Char"/>
    <w:basedOn w:val="DefaultParagraphFont"/>
    <w:link w:val="CommentText"/>
    <w:uiPriority w:val="99"/>
    <w:rsid w:val="00F72464"/>
    <w:rPr>
      <w:rFonts w:ascii="Poppins Light" w:hAnsi="Poppins Light" w:cs="Arial"/>
    </w:rPr>
  </w:style>
  <w:style w:type="paragraph" w:styleId="CommentSubject">
    <w:name w:val="annotation subject"/>
    <w:basedOn w:val="CommentText"/>
    <w:next w:val="CommentText"/>
    <w:link w:val="CommentSubjectChar"/>
    <w:uiPriority w:val="99"/>
    <w:semiHidden/>
    <w:unhideWhenUsed/>
    <w:rsid w:val="00F72464"/>
    <w:rPr>
      <w:b/>
      <w:bCs/>
    </w:rPr>
  </w:style>
  <w:style w:type="character" w:customStyle="1" w:styleId="CommentSubjectChar">
    <w:name w:val="Comment Subject Char"/>
    <w:basedOn w:val="CommentTextChar"/>
    <w:link w:val="CommentSubject"/>
    <w:uiPriority w:val="99"/>
    <w:semiHidden/>
    <w:rsid w:val="00F72464"/>
    <w:rPr>
      <w:rFonts w:ascii="Poppins Light" w:hAnsi="Poppins Light" w:cs="Arial"/>
      <w:b/>
      <w:bCs/>
    </w:rPr>
  </w:style>
  <w:style w:type="paragraph" w:styleId="TOCHeading">
    <w:name w:val="TOC Heading"/>
    <w:basedOn w:val="Heading1"/>
    <w:next w:val="Normal"/>
    <w:uiPriority w:val="39"/>
    <w:unhideWhenUsed/>
    <w:qFormat/>
    <w:rsid w:val="00B20EE2"/>
    <w:pPr>
      <w:spacing w:before="240" w:after="0" w:line="259" w:lineRule="auto"/>
      <w:outlineLvl w:val="9"/>
    </w:pPr>
    <w:rPr>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network.healthwatch.co.uk/guidance/2021-09-08/how-collect-demographic-dat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etwork.healthwatch.co.uk/guidance/2020-10-26/how-co-produce-seldom-heard-group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etwork.healthwatch.co.uk/guidance/2026-01-16/working-community-researchers-achieve-change-peopl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network.healthwatch.co.uk/guidance/2026-01-16/working-partners-and-maintaining-healthwatch-independence" TargetMode="External"/><Relationship Id="rId20" Type="http://schemas.openxmlformats.org/officeDocument/2006/relationships/hyperlink" Target="https://network.healthwatch.co.uk/guidance/2020-10-21/how-engage-people-using-video-diari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etwork.healthwatch.co.uk/guidance/2021-06-17/engaging-refugees-and-asylum-seeker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07/28/section/221" TargetMode="External"/><Relationship Id="rId23" Type="http://schemas.openxmlformats.org/officeDocument/2006/relationships/hyperlink" Target="https://network.healthwatch.co.uk/guidance/2021-12-01/engaging-people-who-are-experiencing-homelessness" TargetMode="External"/><Relationship Id="rId28"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network.healthwatch.co.uk/guidance/2020-08-28/top-tips-engaging-well-people-onlin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twork.healthwatch.co.uk/guidance/2020-10-28/engaging-people-who-live-dementia" TargetMode="External"/><Relationship Id="rId27" Type="http://schemas.openxmlformats.org/officeDocument/2006/relationships/image" Target="media/image3.jpeg"/><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W\OneDrive%20-%20Care%20Quality%20Commission\Downloads\20220227%20-%20Healthwatch%20Briefing%20Report%20Template%20(Blue%20Cover)%20(2022)%20(7).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Goodall, Hannah</DisplayName>
        <AccountId>1786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d1e0e1854b74c250ad6a320ea32bfc1f">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30f2dfe305e50585d359ca65bc623f3"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89DF3-72EF-4420-8964-AC8521039162}">
  <ds:schemaRefs>
    <ds:schemaRef ds:uri="http://schemas.openxmlformats.org/officeDocument/2006/bibliography"/>
  </ds:schemaRefs>
</ds:datastoreItem>
</file>

<file path=customXml/itemProps2.xml><?xml version="1.0" encoding="utf-8"?>
<ds:datastoreItem xmlns:ds="http://schemas.openxmlformats.org/officeDocument/2006/customXml" ds:itemID="{A4FB61F0-E789-420D-A323-29B968172D4A}">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19ba204a-7cec-4086-a9b5-f26e8fa56635"/>
    <ds:schemaRef ds:uri="http://www.w3.org/XML/1998/namespace"/>
    <ds:schemaRef ds:uri="http://purl.org/dc/dcmitype/"/>
    <ds:schemaRef ds:uri="http://purl.org/dc/terms/"/>
    <ds:schemaRef ds:uri="http://schemas.openxmlformats.org/package/2006/metadata/core-properties"/>
    <ds:schemaRef ds:uri="6ce766b5-4c61-445e-8acf-a0272427aa83"/>
  </ds:schemaRefs>
</ds:datastoreItem>
</file>

<file path=customXml/itemProps3.xml><?xml version="1.0" encoding="utf-8"?>
<ds:datastoreItem xmlns:ds="http://schemas.openxmlformats.org/officeDocument/2006/customXml" ds:itemID="{AFEE1D3F-97CA-4CD4-ADA6-20FB12512188}"/>
</file>

<file path=customXml/itemProps4.xml><?xml version="1.0" encoding="utf-8"?>
<ds:datastoreItem xmlns:ds="http://schemas.openxmlformats.org/officeDocument/2006/customXml" ds:itemID="{8C93E512-C889-4C2F-9FA5-347BCC2BA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20220227 - Healthwatch Briefing Report Template (Blue Cover) (2022) (7)</Template>
  <TotalTime>1</TotalTime>
  <Pages>9</Pages>
  <Words>1465</Words>
  <Characters>7799</Characters>
  <Application>Microsoft Office Word</Application>
  <DocSecurity>0</DocSecurity>
  <Lines>192</Lines>
  <Paragraphs>87</Paragraphs>
  <ScaleCrop>false</ScaleCrop>
  <HeadingPairs>
    <vt:vector size="2" baseType="variant">
      <vt:variant>
        <vt:lpstr>Title</vt:lpstr>
      </vt:variant>
      <vt:variant>
        <vt:i4>1</vt:i4>
      </vt:variant>
    </vt:vector>
  </HeadingPairs>
  <TitlesOfParts>
    <vt:vector size="1" baseType="lpstr">
      <vt:lpstr>Briefing</vt:lpstr>
    </vt:vector>
  </TitlesOfParts>
  <Company>Healthwatch</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creator>Howard, Will</dc:creator>
  <cp:keywords>Report</cp:keywords>
  <dc:description>v2.24 by Kessler Associates</dc:description>
  <cp:lastModifiedBy>Chris Gorman</cp:lastModifiedBy>
  <cp:revision>3</cp:revision>
  <dcterms:created xsi:type="dcterms:W3CDTF">2026-02-25T15:06:00Z</dcterms:created>
  <dcterms:modified xsi:type="dcterms:W3CDTF">2026-02-25T15:07:00Z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MediaServiceImageTags">
    <vt:lpwstr/>
  </property>
</Properties>
</file>