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600" w:firstRow="0" w:lastRow="0" w:firstColumn="0" w:lastColumn="0" w:noHBand="1" w:noVBand="1"/>
      </w:tblPr>
      <w:tblGrid>
        <w:gridCol w:w="10404"/>
      </w:tblGrid>
      <w:tr w:rsidR="00762252" w:rsidRPr="00762252" w14:paraId="188C89AF" w14:textId="77777777" w:rsidTr="00D95CF1">
        <w:trPr>
          <w:cantSplit/>
          <w:trHeight w:hRule="exact" w:val="9526"/>
        </w:trPr>
        <w:tc>
          <w:tcPr>
            <w:tcW w:w="10518" w:type="dxa"/>
          </w:tcPr>
          <w:p w14:paraId="1851E360" w14:textId="4E2441A8" w:rsidR="00762252" w:rsidRPr="00315FD6" w:rsidRDefault="007C21D7" w:rsidP="00F85233">
            <w:pPr>
              <w:pStyle w:val="HWMainTitle1"/>
              <w:rPr>
                <w:rFonts w:asciiTheme="minorHAnsi" w:hAnsiTheme="minorHAnsi" w:cstheme="minorHAnsi"/>
              </w:rPr>
            </w:pPr>
            <w:r>
              <w:rPr>
                <w:rFonts w:asciiTheme="minorHAnsi" w:hAnsiTheme="minorHAnsi" w:cstheme="minorHAnsi"/>
              </w:rPr>
              <w:t>Using community researchers</w:t>
            </w:r>
          </w:p>
        </w:tc>
      </w:tr>
      <w:tr w:rsidR="00762252" w:rsidRPr="00762252" w14:paraId="7D36B5E4" w14:textId="77777777" w:rsidTr="00D95CF1">
        <w:trPr>
          <w:cantSplit/>
          <w:trHeight w:hRule="exact" w:val="1077"/>
        </w:trPr>
        <w:tc>
          <w:tcPr>
            <w:tcW w:w="10518" w:type="dxa"/>
          </w:tcPr>
          <w:p w14:paraId="628AADB4" w14:textId="3C784021" w:rsidR="00762252" w:rsidRPr="00315FD6" w:rsidRDefault="00641316" w:rsidP="009434AF">
            <w:pPr>
              <w:pStyle w:val="HWMainTitle2"/>
              <w:rPr>
                <w:b/>
                <w:bCs/>
              </w:rPr>
            </w:pPr>
            <w:r>
              <w:rPr>
                <w:b/>
                <w:bCs/>
              </w:rPr>
              <w:t>Updated January 2026</w:t>
            </w:r>
          </w:p>
        </w:tc>
      </w:tr>
    </w:tbl>
    <w:p w14:paraId="36ECF46C" w14:textId="77777777" w:rsidR="00762252" w:rsidRPr="00762252" w:rsidRDefault="00D95CF1" w:rsidP="00762252">
      <w:pPr>
        <w:pStyle w:val="HWSpacer"/>
      </w:pPr>
      <w:r w:rsidRPr="00D95CF1">
        <w:rPr>
          <w:noProof/>
          <w:lang w:eastAsia="en-GB"/>
        </w:rPr>
        <w:drawing>
          <wp:anchor distT="0" distB="0" distL="114300" distR="114300" simplePos="0" relativeHeight="251658242" behindDoc="1" locked="1" layoutInCell="1" allowOverlap="1" wp14:anchorId="15D952B0" wp14:editId="4D45F371">
            <wp:simplePos x="0" y="0"/>
            <wp:positionH relativeFrom="page">
              <wp:posOffset>3924300</wp:posOffset>
            </wp:positionH>
            <wp:positionV relativeFrom="page">
              <wp:posOffset>200025</wp:posOffset>
            </wp:positionV>
            <wp:extent cx="3343275" cy="914400"/>
            <wp:effectExtent l="0" t="0" r="0" b="0"/>
            <wp:wrapNone/>
            <wp:docPr id="3"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43275" cy="914400"/>
                    </a:xfrm>
                    <a:prstGeom prst="rect">
                      <a:avLst/>
                    </a:prstGeom>
                  </pic:spPr>
                </pic:pic>
              </a:graphicData>
            </a:graphic>
          </wp:anchor>
        </w:drawing>
      </w:r>
      <w:r>
        <w:rPr>
          <w:noProof/>
          <w:lang w:eastAsia="en-GB"/>
        </w:rPr>
        <w:drawing>
          <wp:anchor distT="0" distB="0" distL="114300" distR="114300" simplePos="0" relativeHeight="251658241" behindDoc="1" locked="1" layoutInCell="1" allowOverlap="1" wp14:anchorId="0F991729" wp14:editId="7F1A42F4">
            <wp:simplePos x="0" y="0"/>
            <wp:positionH relativeFrom="page">
              <wp:posOffset>0</wp:posOffset>
            </wp:positionH>
            <wp:positionV relativeFrom="page">
              <wp:posOffset>0</wp:posOffset>
            </wp:positionV>
            <wp:extent cx="7560310" cy="10693400"/>
            <wp:effectExtent l="19050" t="0" r="2540" b="0"/>
            <wp:wrapNone/>
            <wp:docPr id="4" name="Picture 4" descr="P1031 HWE Brand project - Briefing template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31 HWE Brand project - Briefing template_Cover"/>
                    <pic:cNvPicPr>
                      <a:picLocks noChangeAspect="1" noChangeArrowheads="1"/>
                    </pic:cNvPicPr>
                  </pic:nvPicPr>
                  <pic:blipFill>
                    <a:blip r:embed="rId12" cstate="print"/>
                    <a:srcRect/>
                    <a:stretch>
                      <a:fillRect/>
                    </a:stretch>
                  </pic:blipFill>
                  <pic:spPr bwMode="auto">
                    <a:xfrm>
                      <a:off x="0" y="0"/>
                      <a:ext cx="7560310" cy="10693400"/>
                    </a:xfrm>
                    <a:prstGeom prst="rect">
                      <a:avLst/>
                    </a:prstGeom>
                    <a:noFill/>
                    <a:ln w="9525">
                      <a:noFill/>
                      <a:miter lim="800000"/>
                      <a:headEnd/>
                      <a:tailEnd/>
                    </a:ln>
                  </pic:spPr>
                </pic:pic>
              </a:graphicData>
            </a:graphic>
          </wp:anchor>
        </w:drawing>
      </w:r>
    </w:p>
    <w:p w14:paraId="3B69B22B" w14:textId="77777777"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60E4FAC7" w14:textId="77777777" w:rsidR="00762252" w:rsidRDefault="00762252" w:rsidP="006F6803">
      <w:pPr>
        <w:pStyle w:val="HWHeading1Non-Contents"/>
      </w:pPr>
      <w:bookmarkStart w:id="0" w:name="_Toc190424876"/>
      <w:r>
        <w:lastRenderedPageBreak/>
        <w:t>Contents</w:t>
      </w:r>
      <w:bookmarkEnd w:id="0"/>
    </w:p>
    <w:p w14:paraId="4B75985B" w14:textId="77777777" w:rsidR="0075691B" w:rsidRDefault="0075691B">
      <w:pPr>
        <w:pStyle w:val="TOC1"/>
      </w:pPr>
    </w:p>
    <w:p w14:paraId="39AC9DFC" w14:textId="36F2ED91" w:rsidR="00D47140" w:rsidRDefault="00A97BC5">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\h \z \u </w:instrText>
      </w:r>
      <w:r>
        <w:fldChar w:fldCharType="separate"/>
      </w:r>
      <w:hyperlink w:anchor="_Toc190424877" w:history="1">
        <w:r w:rsidR="00D47140" w:rsidRPr="000E029E">
          <w:rPr>
            <w:rStyle w:val="Hyperlink"/>
          </w:rPr>
          <w:t>About this guide</w:t>
        </w:r>
        <w:r w:rsidR="00D47140">
          <w:rPr>
            <w:webHidden/>
          </w:rPr>
          <w:tab/>
        </w:r>
        <w:r w:rsidR="00D47140">
          <w:rPr>
            <w:webHidden/>
          </w:rPr>
          <w:fldChar w:fldCharType="begin"/>
        </w:r>
        <w:r w:rsidR="00D47140">
          <w:rPr>
            <w:webHidden/>
          </w:rPr>
          <w:instrText xml:space="preserve"> PAGEREF _Toc190424877 \h </w:instrText>
        </w:r>
        <w:r w:rsidR="00D47140">
          <w:rPr>
            <w:webHidden/>
          </w:rPr>
        </w:r>
        <w:r w:rsidR="00D47140">
          <w:rPr>
            <w:webHidden/>
          </w:rPr>
          <w:fldChar w:fldCharType="separate"/>
        </w:r>
        <w:r w:rsidR="00D47140">
          <w:rPr>
            <w:webHidden/>
          </w:rPr>
          <w:t>2</w:t>
        </w:r>
        <w:r w:rsidR="00D47140">
          <w:rPr>
            <w:webHidden/>
          </w:rPr>
          <w:fldChar w:fldCharType="end"/>
        </w:r>
      </w:hyperlink>
    </w:p>
    <w:p w14:paraId="2E35B094" w14:textId="4B37EC57" w:rsidR="00D47140" w:rsidRDefault="00D47140">
      <w:pPr>
        <w:pStyle w:val="TOC1"/>
        <w:rPr>
          <w:rFonts w:asciiTheme="minorHAnsi" w:eastAsiaTheme="minorEastAsia" w:hAnsiTheme="minorHAnsi" w:cstheme="minorBidi"/>
          <w:b w:val="0"/>
          <w:color w:val="auto"/>
          <w:kern w:val="2"/>
          <w:szCs w:val="24"/>
          <w:lang w:eastAsia="en-GB"/>
          <w14:ligatures w14:val="standardContextual"/>
        </w:rPr>
      </w:pPr>
      <w:hyperlink w:anchor="_Toc190424878" w:history="1">
        <w:r w:rsidRPr="000E029E">
          <w:rPr>
            <w:rStyle w:val="Hyperlink"/>
          </w:rPr>
          <w:t>What is a community researcher approach?</w:t>
        </w:r>
        <w:r>
          <w:rPr>
            <w:webHidden/>
          </w:rPr>
          <w:tab/>
        </w:r>
        <w:r>
          <w:rPr>
            <w:webHidden/>
          </w:rPr>
          <w:fldChar w:fldCharType="begin"/>
        </w:r>
        <w:r>
          <w:rPr>
            <w:webHidden/>
          </w:rPr>
          <w:instrText xml:space="preserve"> PAGEREF _Toc190424878 \h </w:instrText>
        </w:r>
        <w:r>
          <w:rPr>
            <w:webHidden/>
          </w:rPr>
        </w:r>
        <w:r>
          <w:rPr>
            <w:webHidden/>
          </w:rPr>
          <w:fldChar w:fldCharType="separate"/>
        </w:r>
        <w:r>
          <w:rPr>
            <w:webHidden/>
          </w:rPr>
          <w:t>2</w:t>
        </w:r>
        <w:r>
          <w:rPr>
            <w:webHidden/>
          </w:rPr>
          <w:fldChar w:fldCharType="end"/>
        </w:r>
      </w:hyperlink>
    </w:p>
    <w:p w14:paraId="5CC3E40C" w14:textId="38A82F7C" w:rsidR="00D47140" w:rsidRDefault="00D47140">
      <w:pPr>
        <w:pStyle w:val="TOC1"/>
        <w:rPr>
          <w:rFonts w:asciiTheme="minorHAnsi" w:eastAsiaTheme="minorEastAsia" w:hAnsiTheme="minorHAnsi" w:cstheme="minorBidi"/>
          <w:b w:val="0"/>
          <w:color w:val="auto"/>
          <w:kern w:val="2"/>
          <w:szCs w:val="24"/>
          <w:lang w:eastAsia="en-GB"/>
          <w14:ligatures w14:val="standardContextual"/>
        </w:rPr>
      </w:pPr>
      <w:hyperlink w:anchor="_Toc190424879" w:history="1">
        <w:r w:rsidRPr="000E029E">
          <w:rPr>
            <w:rStyle w:val="Hyperlink"/>
          </w:rPr>
          <w:t>Models of community research</w:t>
        </w:r>
        <w:r>
          <w:rPr>
            <w:webHidden/>
          </w:rPr>
          <w:tab/>
        </w:r>
        <w:r>
          <w:rPr>
            <w:webHidden/>
          </w:rPr>
          <w:fldChar w:fldCharType="begin"/>
        </w:r>
        <w:r>
          <w:rPr>
            <w:webHidden/>
          </w:rPr>
          <w:instrText xml:space="preserve"> PAGEREF _Toc190424879 \h </w:instrText>
        </w:r>
        <w:r>
          <w:rPr>
            <w:webHidden/>
          </w:rPr>
        </w:r>
        <w:r>
          <w:rPr>
            <w:webHidden/>
          </w:rPr>
          <w:fldChar w:fldCharType="separate"/>
        </w:r>
        <w:r>
          <w:rPr>
            <w:webHidden/>
          </w:rPr>
          <w:t>4</w:t>
        </w:r>
        <w:r>
          <w:rPr>
            <w:webHidden/>
          </w:rPr>
          <w:fldChar w:fldCharType="end"/>
        </w:r>
      </w:hyperlink>
    </w:p>
    <w:p w14:paraId="621088BC" w14:textId="5DC0DA84" w:rsidR="00D47140" w:rsidRDefault="00D47140">
      <w:pPr>
        <w:pStyle w:val="TOC1"/>
        <w:rPr>
          <w:rFonts w:asciiTheme="minorHAnsi" w:eastAsiaTheme="minorEastAsia" w:hAnsiTheme="minorHAnsi" w:cstheme="minorBidi"/>
          <w:b w:val="0"/>
          <w:color w:val="auto"/>
          <w:kern w:val="2"/>
          <w:szCs w:val="24"/>
          <w:lang w:eastAsia="en-GB"/>
          <w14:ligatures w14:val="standardContextual"/>
        </w:rPr>
      </w:pPr>
      <w:hyperlink w:anchor="_Toc190424880" w:history="1">
        <w:r w:rsidRPr="000E029E">
          <w:rPr>
            <w:rStyle w:val="Hyperlink"/>
          </w:rPr>
          <w:t>Five steps to using a community researcher approach</w:t>
        </w:r>
        <w:r>
          <w:rPr>
            <w:webHidden/>
          </w:rPr>
          <w:tab/>
        </w:r>
        <w:r>
          <w:rPr>
            <w:webHidden/>
          </w:rPr>
          <w:fldChar w:fldCharType="begin"/>
        </w:r>
        <w:r>
          <w:rPr>
            <w:webHidden/>
          </w:rPr>
          <w:instrText xml:space="preserve"> PAGEREF _Toc190424880 \h </w:instrText>
        </w:r>
        <w:r>
          <w:rPr>
            <w:webHidden/>
          </w:rPr>
        </w:r>
        <w:r>
          <w:rPr>
            <w:webHidden/>
          </w:rPr>
          <w:fldChar w:fldCharType="separate"/>
        </w:r>
        <w:r>
          <w:rPr>
            <w:webHidden/>
          </w:rPr>
          <w:t>6</w:t>
        </w:r>
        <w:r>
          <w:rPr>
            <w:webHidden/>
          </w:rPr>
          <w:fldChar w:fldCharType="end"/>
        </w:r>
      </w:hyperlink>
    </w:p>
    <w:p w14:paraId="2F5A6F1C" w14:textId="16569A54" w:rsidR="00D47140" w:rsidRDefault="00D47140">
      <w:pPr>
        <w:pStyle w:val="TOC1"/>
        <w:rPr>
          <w:rFonts w:asciiTheme="minorHAnsi" w:eastAsiaTheme="minorEastAsia" w:hAnsiTheme="minorHAnsi" w:cstheme="minorBidi"/>
          <w:b w:val="0"/>
          <w:color w:val="auto"/>
          <w:kern w:val="2"/>
          <w:szCs w:val="24"/>
          <w:lang w:eastAsia="en-GB"/>
          <w14:ligatures w14:val="standardContextual"/>
        </w:rPr>
      </w:pPr>
      <w:hyperlink w:anchor="_Toc190424881" w:history="1">
        <w:r w:rsidRPr="000E029E">
          <w:rPr>
            <w:rStyle w:val="Hyperlink"/>
          </w:rPr>
          <w:t>Resource considerations for community research</w:t>
        </w:r>
        <w:r>
          <w:rPr>
            <w:webHidden/>
          </w:rPr>
          <w:tab/>
        </w:r>
        <w:r>
          <w:rPr>
            <w:webHidden/>
          </w:rPr>
          <w:fldChar w:fldCharType="begin"/>
        </w:r>
        <w:r>
          <w:rPr>
            <w:webHidden/>
          </w:rPr>
          <w:instrText xml:space="preserve"> PAGEREF _Toc190424881 \h </w:instrText>
        </w:r>
        <w:r>
          <w:rPr>
            <w:webHidden/>
          </w:rPr>
        </w:r>
        <w:r>
          <w:rPr>
            <w:webHidden/>
          </w:rPr>
          <w:fldChar w:fldCharType="separate"/>
        </w:r>
        <w:r>
          <w:rPr>
            <w:webHidden/>
          </w:rPr>
          <w:t>7</w:t>
        </w:r>
        <w:r>
          <w:rPr>
            <w:webHidden/>
          </w:rPr>
          <w:fldChar w:fldCharType="end"/>
        </w:r>
      </w:hyperlink>
    </w:p>
    <w:p w14:paraId="1629497A" w14:textId="3B6564B5" w:rsidR="00762252" w:rsidRDefault="00A97BC5" w:rsidP="00762252">
      <w:pPr>
        <w:pStyle w:val="HWNormalText"/>
      </w:pPr>
      <w:r>
        <w:rPr>
          <w:noProof/>
          <w:color w:val="004C6B" w:themeColor="text1"/>
          <w:spacing w:val="0"/>
        </w:rPr>
        <w:fldChar w:fldCharType="end"/>
      </w:r>
    </w:p>
    <w:p w14:paraId="48F495A0" w14:textId="77777777" w:rsidR="00762252" w:rsidRDefault="00762252" w:rsidP="00762252">
      <w:pPr>
        <w:pStyle w:val="HWNormalText"/>
      </w:pPr>
    </w:p>
    <w:p w14:paraId="6A1CFFD4" w14:textId="77777777" w:rsidR="00762252" w:rsidRPr="00762252" w:rsidRDefault="00762252" w:rsidP="00762252">
      <w:pPr>
        <w:pStyle w:val="HWNormalText"/>
      </w:pPr>
      <w:r w:rsidRPr="00762252">
        <w:br w:type="page"/>
      </w:r>
    </w:p>
    <w:p w14:paraId="36460452" w14:textId="77777777" w:rsidR="000641DC" w:rsidRDefault="000641DC" w:rsidP="000641DC">
      <w:pPr>
        <w:pStyle w:val="HWHeading1"/>
      </w:pPr>
      <w:bookmarkStart w:id="1" w:name="_Toc190424877"/>
      <w:r>
        <w:lastRenderedPageBreak/>
        <w:t>About this guide</w:t>
      </w:r>
      <w:bookmarkEnd w:id="1"/>
    </w:p>
    <w:p w14:paraId="3C0CC859" w14:textId="77777777" w:rsidR="00404850" w:rsidRPr="00404850" w:rsidRDefault="00404850" w:rsidP="00404850">
      <w:pPr>
        <w:pStyle w:val="HWNormalText"/>
      </w:pPr>
      <w:bookmarkStart w:id="2" w:name="_Toc190424878"/>
      <w:r w:rsidRPr="00404850">
        <w:t>Some Healthwatch have successfully used a community researcher approach to engage seldom-heard groups and conduct inclusive research.</w:t>
      </w:r>
    </w:p>
    <w:p w14:paraId="77B0F698" w14:textId="77777777" w:rsidR="00404850" w:rsidRDefault="00404850" w:rsidP="00404850">
      <w:pPr>
        <w:pStyle w:val="HWNormalText"/>
        <w:rPr>
          <w:b/>
          <w:bCs/>
        </w:rPr>
      </w:pPr>
      <w:r w:rsidRPr="00404850">
        <w:t>This document will help you understand this approach and provide guidance on how to apply it at your Healthwatch.</w:t>
      </w:r>
    </w:p>
    <w:p w14:paraId="21CF6F25" w14:textId="1E6A865A" w:rsidR="000641DC" w:rsidRDefault="000641DC" w:rsidP="00404850">
      <w:pPr>
        <w:pStyle w:val="HWHeading1"/>
      </w:pPr>
      <w:r>
        <w:t>What is a community researcher approach?</w:t>
      </w:r>
      <w:bookmarkEnd w:id="2"/>
    </w:p>
    <w:p w14:paraId="57D7EA7F" w14:textId="77777777" w:rsidR="00EB676A" w:rsidRDefault="000641DC" w:rsidP="000641DC">
      <w:pPr>
        <w:pStyle w:val="HWNormalText"/>
      </w:pPr>
      <w:r>
        <w:t xml:space="preserve">Community researchers are people you train, support and empower to conduct research on your behalf in their communities. </w:t>
      </w:r>
      <w:r w:rsidR="00EB676A" w:rsidRPr="00EB676A">
        <w:t>It is a research approach that is more participatory, with you acting as a facilitator and communities at the heart of data collection.</w:t>
      </w:r>
    </w:p>
    <w:p w14:paraId="0EC1F8DF" w14:textId="77777777" w:rsidR="001E1914" w:rsidRDefault="001E1914" w:rsidP="000641DC">
      <w:pPr>
        <w:pStyle w:val="HWNormalText"/>
      </w:pPr>
      <w:r w:rsidRPr="001E1914">
        <w:t xml:space="preserve">The more traditional research approach is extractive: you, as a researcher, go to people and communities and look to extract insight from them. The community researcher approach is more collaborative; you do research </w:t>
      </w:r>
      <w:r w:rsidRPr="001E1914">
        <w:rPr>
          <w:i/>
          <w:iCs/>
        </w:rPr>
        <w:t xml:space="preserve">with </w:t>
      </w:r>
      <w:r w:rsidRPr="001E1914">
        <w:t>people and communities.</w:t>
      </w:r>
    </w:p>
    <w:p w14:paraId="77861FA5" w14:textId="77C9AB6A" w:rsidR="000641DC" w:rsidRDefault="000641DC" w:rsidP="000641DC">
      <w:pPr>
        <w:pStyle w:val="HWNormalText"/>
      </w:pPr>
      <w:r>
        <w:t>Working this way can help communities to bring their views to the fore and explain what health and social care issues are important to them. It may help you hear views that you would not have heard through more typical research approaches.</w:t>
      </w:r>
    </w:p>
    <w:p w14:paraId="6F78E457" w14:textId="77777777" w:rsidR="000641DC" w:rsidRDefault="000641DC" w:rsidP="00641316">
      <w:pPr>
        <w:pStyle w:val="HWHeading2"/>
      </w:pPr>
      <w:r>
        <w:t>What are the benefits of using community researchers?</w:t>
      </w:r>
    </w:p>
    <w:p w14:paraId="622BFA79" w14:textId="77777777" w:rsidR="00CA4156" w:rsidRDefault="000641DC" w:rsidP="00CA4156">
      <w:pPr>
        <w:pStyle w:val="HWNormalText"/>
      </w:pPr>
      <w:r>
        <w:t xml:space="preserve">There are several reasons why this approach </w:t>
      </w:r>
      <w:r w:rsidR="00CA4156">
        <w:t>is</w:t>
      </w:r>
      <w:r>
        <w:t xml:space="preserve"> effective</w:t>
      </w:r>
      <w:r w:rsidR="00CA4156">
        <w:t>:</w:t>
      </w:r>
      <w:r>
        <w:t xml:space="preserve"> </w:t>
      </w:r>
    </w:p>
    <w:p w14:paraId="3147B631" w14:textId="2DA65C34" w:rsidR="000641DC" w:rsidRDefault="000641DC" w:rsidP="00CA4156">
      <w:pPr>
        <w:pStyle w:val="HWBullets"/>
      </w:pPr>
      <w:r>
        <w:t>It is community-led and action-focused</w:t>
      </w:r>
    </w:p>
    <w:p w14:paraId="27254214" w14:textId="77777777" w:rsidR="000641DC" w:rsidRDefault="000641DC" w:rsidP="000641DC">
      <w:pPr>
        <w:pStyle w:val="HWBullets"/>
      </w:pPr>
      <w:r>
        <w:t>It can reach people whose voices are underrepresented</w:t>
      </w:r>
    </w:p>
    <w:p w14:paraId="5B64CFA8" w14:textId="77777777" w:rsidR="000641DC" w:rsidRDefault="000641DC" w:rsidP="000641DC">
      <w:pPr>
        <w:pStyle w:val="HWBullets"/>
      </w:pPr>
      <w:r>
        <w:t>It both builds and recognises skills, knowledge and expertise in communities</w:t>
      </w:r>
    </w:p>
    <w:p w14:paraId="457F4A6E" w14:textId="35559B91" w:rsidR="000641DC" w:rsidRDefault="000641DC" w:rsidP="000641DC">
      <w:pPr>
        <w:pStyle w:val="HWBullets"/>
      </w:pPr>
      <w:r>
        <w:t xml:space="preserve">It reimburses community members </w:t>
      </w:r>
      <w:r w:rsidR="00241FF2">
        <w:t xml:space="preserve">for </w:t>
      </w:r>
      <w:r>
        <w:t>their time and input</w:t>
      </w:r>
    </w:p>
    <w:p w14:paraId="3F57351A" w14:textId="77777777" w:rsidR="000641DC" w:rsidRDefault="000641DC" w:rsidP="000641DC">
      <w:pPr>
        <w:pStyle w:val="HWBullets"/>
      </w:pPr>
      <w:r>
        <w:t>It can start to address inequalities in access and resource</w:t>
      </w:r>
    </w:p>
    <w:p w14:paraId="0F9D09CE" w14:textId="77777777" w:rsidR="000641DC" w:rsidRDefault="000641DC" w:rsidP="000641DC">
      <w:pPr>
        <w:pStyle w:val="HWBullets"/>
      </w:pPr>
      <w:r>
        <w:t>It is about the process as well as the result</w:t>
      </w:r>
    </w:p>
    <w:p w14:paraId="168DD1C5" w14:textId="77777777" w:rsidR="000641DC" w:rsidRDefault="000641DC" w:rsidP="000641DC">
      <w:pPr>
        <w:pStyle w:val="HWBullets"/>
      </w:pPr>
      <w:r>
        <w:t xml:space="preserve">It moves away from extractive research approaches, </w:t>
      </w:r>
    </w:p>
    <w:p w14:paraId="59B5334E" w14:textId="303DDFB2" w:rsidR="000641DC" w:rsidRDefault="000641DC" w:rsidP="000641DC">
      <w:pPr>
        <w:pStyle w:val="HWBullets"/>
      </w:pPr>
      <w:r>
        <w:t>It can be the start of a continuous</w:t>
      </w:r>
      <w:r w:rsidR="00241FF2">
        <w:t>,</w:t>
      </w:r>
      <w:r>
        <w:t xml:space="preserve"> ongoing dialogue between Healthwatch and communities</w:t>
      </w:r>
    </w:p>
    <w:p w14:paraId="177E0EC8" w14:textId="77777777" w:rsidR="000641DC" w:rsidRDefault="000641DC" w:rsidP="00641316">
      <w:pPr>
        <w:pStyle w:val="HWHeading2"/>
      </w:pPr>
      <w:r>
        <w:lastRenderedPageBreak/>
        <w:t>What are the challenges of using community researchers?</w:t>
      </w:r>
    </w:p>
    <w:p w14:paraId="5A09C128" w14:textId="342AA993" w:rsidR="000641DC" w:rsidRDefault="000641DC" w:rsidP="000641DC">
      <w:pPr>
        <w:pStyle w:val="HWNormalText"/>
      </w:pPr>
      <w:r>
        <w:t xml:space="preserve">This approach </w:t>
      </w:r>
      <w:r w:rsidR="00C01EDD">
        <w:t>has a number or challenges for small organisations like Healthwatch:</w:t>
      </w:r>
    </w:p>
    <w:p w14:paraId="434405B4" w14:textId="7A52EE88" w:rsidR="000641DC" w:rsidRDefault="000641DC" w:rsidP="000641DC">
      <w:pPr>
        <w:pStyle w:val="HWBullets"/>
      </w:pPr>
      <w:r>
        <w:t>It takes longer and can require more resource tha</w:t>
      </w:r>
      <w:r w:rsidR="00027589">
        <w:t>n</w:t>
      </w:r>
      <w:r>
        <w:t xml:space="preserve"> typical Healthwatch research approaches</w:t>
      </w:r>
    </w:p>
    <w:p w14:paraId="239BB2FE" w14:textId="77777777" w:rsidR="000641DC" w:rsidRDefault="000641DC" w:rsidP="000641DC">
      <w:pPr>
        <w:pStyle w:val="HWBullets"/>
      </w:pPr>
      <w:r>
        <w:t>It doesn’t stick to office hours and can challenge your boundaries.</w:t>
      </w:r>
    </w:p>
    <w:p w14:paraId="272E83A1" w14:textId="77777777" w:rsidR="000641DC" w:rsidRDefault="000641DC" w:rsidP="000641DC">
      <w:pPr>
        <w:pStyle w:val="HWBullets"/>
      </w:pPr>
      <w:r>
        <w:t>Community researchers vary in skill and confidence and may need different levels of support.</w:t>
      </w:r>
    </w:p>
    <w:p w14:paraId="3E7C8AA9" w14:textId="5C92D6E7" w:rsidR="000641DC" w:rsidRDefault="000641DC" w:rsidP="000641DC">
      <w:pPr>
        <w:pStyle w:val="HWBullets"/>
      </w:pPr>
      <w:r>
        <w:t xml:space="preserve">Community researchers and community members have busy lives, so </w:t>
      </w:r>
      <w:r w:rsidR="00027589">
        <w:t xml:space="preserve">may have limited time </w:t>
      </w:r>
      <w:r>
        <w:t>to dedicate to the wo</w:t>
      </w:r>
      <w:r w:rsidR="00027589">
        <w:t>rk</w:t>
      </w:r>
      <w:r>
        <w:t>.</w:t>
      </w:r>
    </w:p>
    <w:p w14:paraId="4AE040B2" w14:textId="77777777" w:rsidR="000641DC" w:rsidRDefault="000641DC" w:rsidP="000641DC">
      <w:pPr>
        <w:pStyle w:val="HWBullets"/>
      </w:pPr>
      <w:r>
        <w:t>It requires an ongoing problem-solving approach.</w:t>
      </w:r>
    </w:p>
    <w:p w14:paraId="181EDB90" w14:textId="77777777" w:rsidR="000641DC" w:rsidRDefault="000641DC" w:rsidP="000641DC">
      <w:pPr>
        <w:pStyle w:val="HWBullets"/>
      </w:pPr>
      <w:r>
        <w:t>It may not be free of community ‘</w:t>
      </w:r>
      <w:proofErr w:type="gramStart"/>
      <w:r>
        <w:t>politics’</w:t>
      </w:r>
      <w:proofErr w:type="gramEnd"/>
      <w:r>
        <w:t>.</w:t>
      </w:r>
    </w:p>
    <w:p w14:paraId="72D9D031" w14:textId="58FFB6E4" w:rsidR="000641DC" w:rsidRDefault="000641DC" w:rsidP="000641DC">
      <w:pPr>
        <w:pStyle w:val="HWBullets"/>
      </w:pPr>
      <w:r>
        <w:t>It requires</w:t>
      </w:r>
      <w:r w:rsidR="0066070B">
        <w:t xml:space="preserve"> an</w:t>
      </w:r>
      <w:r>
        <w:t xml:space="preserve"> understanding of how to support beyond the research to protect and navigate researcher and community dialogue with the health and care system and any subsequent demands.</w:t>
      </w:r>
    </w:p>
    <w:p w14:paraId="2914E070" w14:textId="77777777" w:rsidR="000641DC" w:rsidRDefault="000641DC" w:rsidP="000641DC">
      <w:pPr>
        <w:pStyle w:val="HWBullets"/>
      </w:pPr>
      <w:r>
        <w:t>Organisational and service change is slow and takes time, which can be frustrating to communities that have been enthused by the process of research involvement.</w:t>
      </w:r>
    </w:p>
    <w:p w14:paraId="20F2ED40" w14:textId="77777777" w:rsidR="000641DC" w:rsidRDefault="000641DC" w:rsidP="00DC61E3">
      <w:pPr>
        <w:pStyle w:val="HWHeading2"/>
      </w:pPr>
      <w:r>
        <w:t>What a community researcher approach is and is not</w:t>
      </w:r>
    </w:p>
    <w:p w14:paraId="1DEEDCA6" w14:textId="77777777" w:rsidR="00FB5978" w:rsidRDefault="000641DC" w:rsidP="000641DC">
      <w:pPr>
        <w:pStyle w:val="HWNormalText"/>
      </w:pPr>
      <w:r>
        <w:t xml:space="preserve">Using community researchers is a specific </w:t>
      </w:r>
      <w:r w:rsidR="00FB5978">
        <w:t xml:space="preserve">research </w:t>
      </w:r>
      <w:r>
        <w:t>approach</w:t>
      </w:r>
      <w:r w:rsidR="00DC61E3">
        <w:t xml:space="preserve">.  </w:t>
      </w:r>
      <w:r w:rsidR="00FB5978" w:rsidRPr="00FB5978">
        <w:t>Before we examine how to do it, it’s essential to have a clear understanding of what it is and what it is not.</w:t>
      </w:r>
    </w:p>
    <w:p w14:paraId="4D1ABAEC" w14:textId="24EC726F" w:rsidR="000641DC" w:rsidRDefault="000641DC" w:rsidP="000641DC">
      <w:pPr>
        <w:pStyle w:val="HWNormalText"/>
      </w:pPr>
      <w:r>
        <w:t>Community research is:</w:t>
      </w:r>
    </w:p>
    <w:p w14:paraId="1581C6A7" w14:textId="77777777" w:rsidR="000641DC" w:rsidRDefault="000641DC" w:rsidP="000641DC">
      <w:pPr>
        <w:pStyle w:val="HWBullets"/>
      </w:pPr>
      <w:r>
        <w:t>A process as much as an outcome</w:t>
      </w:r>
    </w:p>
    <w:p w14:paraId="2EAEC31F" w14:textId="5F6BE445" w:rsidR="000641DC" w:rsidRDefault="000641DC" w:rsidP="000641DC">
      <w:pPr>
        <w:pStyle w:val="HWBullets"/>
      </w:pPr>
      <w:r>
        <w:t>Time</w:t>
      </w:r>
      <w:r w:rsidR="00AE3775">
        <w:t>-</w:t>
      </w:r>
      <w:r>
        <w:t>consuming</w:t>
      </w:r>
    </w:p>
    <w:p w14:paraId="0180368F" w14:textId="77777777" w:rsidR="000641DC" w:rsidRDefault="000641DC" w:rsidP="000641DC">
      <w:pPr>
        <w:pStyle w:val="HWBullets"/>
      </w:pPr>
      <w:r>
        <w:t>An approach that requires commitment, skill, risk and iterative learning</w:t>
      </w:r>
    </w:p>
    <w:p w14:paraId="2EB9CB91" w14:textId="530551FC" w:rsidR="000641DC" w:rsidRDefault="000641DC" w:rsidP="000641DC">
      <w:pPr>
        <w:pStyle w:val="HWBullets"/>
      </w:pPr>
      <w:r>
        <w:t xml:space="preserve">Rewarding for both </w:t>
      </w:r>
      <w:r w:rsidR="00AE3775">
        <w:t xml:space="preserve">the </w:t>
      </w:r>
      <w:r>
        <w:t>community and Healthwatch</w:t>
      </w:r>
    </w:p>
    <w:p w14:paraId="28C33552" w14:textId="77777777" w:rsidR="000641DC" w:rsidRDefault="000641DC" w:rsidP="000641DC">
      <w:pPr>
        <w:pStyle w:val="HWBullets"/>
      </w:pPr>
      <w:r>
        <w:t>An approach that highlights issues, perspectives and concerns of seldom heard communities on their own terms</w:t>
      </w:r>
    </w:p>
    <w:p w14:paraId="63E1603E" w14:textId="77777777" w:rsidR="000641DC" w:rsidRDefault="000641DC" w:rsidP="000641DC">
      <w:pPr>
        <w:pStyle w:val="HWBullets"/>
      </w:pPr>
      <w:r>
        <w:t>Action-based and focused on change</w:t>
      </w:r>
    </w:p>
    <w:p w14:paraId="58361DB9" w14:textId="77777777" w:rsidR="000641DC" w:rsidRDefault="000641DC" w:rsidP="000641DC">
      <w:pPr>
        <w:pStyle w:val="HWBullets"/>
      </w:pPr>
      <w:r>
        <w:t>A way of working with communities based on respect, partnership and value.</w:t>
      </w:r>
    </w:p>
    <w:p w14:paraId="2F1F39A5" w14:textId="77777777" w:rsidR="000641DC" w:rsidRDefault="000641DC" w:rsidP="000641DC">
      <w:pPr>
        <w:pStyle w:val="HWBullets"/>
        <w:numPr>
          <w:ilvl w:val="0"/>
          <w:numId w:val="0"/>
        </w:numPr>
        <w:ind w:left="357" w:hanging="357"/>
      </w:pPr>
      <w:r>
        <w:t>Community research is not:</w:t>
      </w:r>
    </w:p>
    <w:p w14:paraId="5BF336F2" w14:textId="77777777" w:rsidR="000641DC" w:rsidRDefault="000641DC" w:rsidP="000641DC">
      <w:pPr>
        <w:pStyle w:val="HWBullets"/>
      </w:pPr>
      <w:r>
        <w:t>A quick fix</w:t>
      </w:r>
    </w:p>
    <w:p w14:paraId="1C8FD11C" w14:textId="77777777" w:rsidR="000641DC" w:rsidRDefault="000641DC" w:rsidP="000641DC">
      <w:pPr>
        <w:pStyle w:val="HWBullets"/>
      </w:pPr>
      <w:r>
        <w:lastRenderedPageBreak/>
        <w:t>Easy</w:t>
      </w:r>
    </w:p>
    <w:p w14:paraId="5455E7ED" w14:textId="77777777" w:rsidR="000641DC" w:rsidRDefault="000641DC" w:rsidP="000641DC">
      <w:pPr>
        <w:pStyle w:val="HWBullets"/>
      </w:pPr>
      <w:r>
        <w:t>Tokenistic</w:t>
      </w:r>
    </w:p>
    <w:p w14:paraId="7EAF573F" w14:textId="77777777" w:rsidR="000641DC" w:rsidRDefault="000641DC" w:rsidP="000641DC">
      <w:pPr>
        <w:pStyle w:val="HWBullets"/>
      </w:pPr>
      <w:r>
        <w:t>A clear-cut ‘toolkit’ approach</w:t>
      </w:r>
    </w:p>
    <w:p w14:paraId="27B2F829" w14:textId="77777777" w:rsidR="000641DC" w:rsidRDefault="000641DC" w:rsidP="000641DC">
      <w:pPr>
        <w:pStyle w:val="HWBullets"/>
      </w:pPr>
      <w:r>
        <w:t>A guaranteed product, outcome or success</w:t>
      </w:r>
    </w:p>
    <w:p w14:paraId="17E70281" w14:textId="77777777" w:rsidR="000641DC" w:rsidRDefault="000641DC" w:rsidP="000641DC">
      <w:pPr>
        <w:pStyle w:val="HWBullets"/>
      </w:pPr>
      <w:r>
        <w:t>Without risk</w:t>
      </w:r>
    </w:p>
    <w:p w14:paraId="1457DEE4" w14:textId="77777777" w:rsidR="000641DC" w:rsidRDefault="000641DC" w:rsidP="000641DC">
      <w:pPr>
        <w:pStyle w:val="HWBullets"/>
      </w:pPr>
      <w:r>
        <w:t>Appropriate in all circumstances</w:t>
      </w:r>
    </w:p>
    <w:p w14:paraId="0A0E8402" w14:textId="77777777" w:rsidR="000641DC" w:rsidRDefault="000641DC" w:rsidP="000641DC">
      <w:pPr>
        <w:pStyle w:val="HWHeading1"/>
      </w:pPr>
      <w:bookmarkStart w:id="3" w:name="_Toc190424879"/>
      <w:r>
        <w:t>Models of community research</w:t>
      </w:r>
      <w:bookmarkEnd w:id="3"/>
    </w:p>
    <w:p w14:paraId="69EAF686" w14:textId="77777777" w:rsidR="000641DC" w:rsidRDefault="000641DC" w:rsidP="000641DC">
      <w:pPr>
        <w:pStyle w:val="HWNormalText"/>
      </w:pPr>
      <w:r>
        <w:t>Now that you have a good understanding of what the community researcher approach is, we can cover how to do it.</w:t>
      </w:r>
    </w:p>
    <w:p w14:paraId="76005C8D" w14:textId="77777777" w:rsidR="000641DC" w:rsidRDefault="000641DC" w:rsidP="000641DC">
      <w:pPr>
        <w:pStyle w:val="HWNormalText"/>
      </w:pPr>
      <w:r>
        <w:t>In 2021, Healthwatch Oxfordshire supported two community researchers under a Community Participatory Action Research programme funded by Health Education England South-East.</w:t>
      </w:r>
    </w:p>
    <w:p w14:paraId="5FC11DEE" w14:textId="77777777" w:rsidR="004E362B" w:rsidRDefault="004E362B" w:rsidP="004E362B">
      <w:pPr>
        <w:pStyle w:val="HWNormalText"/>
        <w:rPr>
          <w:b/>
          <w:bCs/>
        </w:rPr>
      </w:pPr>
      <w:r w:rsidRPr="004E362B">
        <w:t>Healthwatch Oxfordshire developed two models of community research, which other Healthwatch services may replicate.</w:t>
      </w:r>
    </w:p>
    <w:p w14:paraId="13A656E8" w14:textId="1F501EFA" w:rsidR="000641DC" w:rsidRDefault="000641DC" w:rsidP="00DC61E3">
      <w:pPr>
        <w:pStyle w:val="HWHeading2"/>
      </w:pPr>
      <w:r>
        <w:t xml:space="preserve">Model one: supporting community </w:t>
      </w:r>
      <w:r w:rsidR="00DC61E3">
        <w:t>researchers</w:t>
      </w:r>
      <w:r>
        <w:t xml:space="preserve"> on their chosen topic</w:t>
      </w:r>
    </w:p>
    <w:p w14:paraId="6F60AD96" w14:textId="52589893" w:rsidR="000641DC" w:rsidRDefault="00D845A7" w:rsidP="000641DC">
      <w:pPr>
        <w:pStyle w:val="HWNormalText"/>
      </w:pPr>
      <w:r w:rsidRPr="00D845A7">
        <w:t>In this model, the community selects the issue to research, determines the research methods, and specifies how the research will be utilised</w:t>
      </w:r>
      <w:r w:rsidR="000641DC">
        <w:t xml:space="preserve">. As Healthwatch, you recruit one or more community researchers. Your role is to support them in identifying and highlighting the </w:t>
      </w:r>
      <w:r w:rsidR="00336995">
        <w:t xml:space="preserve">critical </w:t>
      </w:r>
      <w:r w:rsidR="000641DC">
        <w:t xml:space="preserve">concerns in their community. You work alongside your researchers to provide support, build skills, help </w:t>
      </w:r>
      <w:r w:rsidR="00D02234">
        <w:t xml:space="preserve">with </w:t>
      </w:r>
      <w:r w:rsidR="000641DC">
        <w:t>research planning and provide resources to enable the research to happen.</w:t>
      </w:r>
    </w:p>
    <w:p w14:paraId="6AF0533E" w14:textId="77777777" w:rsidR="000641DC" w:rsidRDefault="000641DC" w:rsidP="000641DC">
      <w:pPr>
        <w:pStyle w:val="HWNormalText"/>
      </w:pPr>
      <w:r>
        <w:t>When they have done their research, you help the researchers and communities to share what they have heard directly with the health and care system.</w:t>
      </w:r>
    </w:p>
    <w:p w14:paraId="20B66630" w14:textId="77777777" w:rsidR="000641DC" w:rsidRDefault="000641DC" w:rsidP="000641DC">
      <w:pPr>
        <w:pStyle w:val="HWNormalText"/>
      </w:pPr>
      <w:r>
        <w:t>This process takes time and strongly focuses on participation and change, identifying areas for practical action.</w:t>
      </w:r>
    </w:p>
    <w:tbl>
      <w:tblPr>
        <w:tblStyle w:val="HWStoryPink"/>
        <w:tblW w:w="10490" w:type="dxa"/>
        <w:tblLook w:val="04A0" w:firstRow="1" w:lastRow="0" w:firstColumn="1" w:lastColumn="0" w:noHBand="0" w:noVBand="1"/>
      </w:tblPr>
      <w:tblGrid>
        <w:gridCol w:w="10490"/>
      </w:tblGrid>
      <w:tr w:rsidR="000641DC" w14:paraId="5C77569F" w14:textId="77777777" w:rsidTr="00396C55">
        <w:trPr>
          <w:cnfStyle w:val="100000000000" w:firstRow="1" w:lastRow="0" w:firstColumn="0" w:lastColumn="0" w:oddVBand="0" w:evenVBand="0" w:oddHBand="0" w:evenHBand="0" w:firstRowFirstColumn="0" w:firstRowLastColumn="0" w:lastRowFirstColumn="0" w:lastRowLastColumn="0"/>
        </w:trPr>
        <w:tc>
          <w:tcPr>
            <w:tcW w:w="10490" w:type="dxa"/>
          </w:tcPr>
          <w:p w14:paraId="107B123D" w14:textId="77777777" w:rsidR="000641DC" w:rsidRPr="008F3F83" w:rsidRDefault="000641DC" w:rsidP="00396C55">
            <w:pPr>
              <w:pStyle w:val="HWStoryTitle"/>
              <w:rPr>
                <w:sz w:val="24"/>
                <w:szCs w:val="18"/>
              </w:rPr>
            </w:pPr>
            <w:r w:rsidRPr="008F3F83">
              <w:rPr>
                <w:sz w:val="24"/>
                <w:szCs w:val="18"/>
              </w:rPr>
              <w:t>This model in practice</w:t>
            </w:r>
          </w:p>
        </w:tc>
      </w:tr>
      <w:tr w:rsidR="000641DC" w14:paraId="2394AA76" w14:textId="77777777" w:rsidTr="00396C55">
        <w:tc>
          <w:tcPr>
            <w:tcW w:w="10490" w:type="dxa"/>
          </w:tcPr>
          <w:p w14:paraId="263A1404" w14:textId="6630159F" w:rsidR="00A27E71" w:rsidRDefault="00A27E71" w:rsidP="00396C55">
            <w:pPr>
              <w:pStyle w:val="HWStoryText"/>
              <w:rPr>
                <w:sz w:val="24"/>
                <w:szCs w:val="18"/>
              </w:rPr>
            </w:pPr>
            <w:r w:rsidRPr="00A27E71">
              <w:rPr>
                <w:sz w:val="24"/>
                <w:szCs w:val="18"/>
              </w:rPr>
              <w:t>Healthwatch Oxford</w:t>
            </w:r>
            <w:r>
              <w:rPr>
                <w:sz w:val="24"/>
                <w:szCs w:val="18"/>
              </w:rPr>
              <w:t>shire</w:t>
            </w:r>
            <w:r w:rsidRPr="00A27E71">
              <w:rPr>
                <w:sz w:val="24"/>
                <w:szCs w:val="18"/>
              </w:rPr>
              <w:t xml:space="preserve"> recruited a community researcher through existing links with a local grassroots organisation that has strong relationships within Oxford’s diverse and multi-ethnic communities.</w:t>
            </w:r>
          </w:p>
          <w:p w14:paraId="47D3BEED" w14:textId="62710E2F" w:rsidR="000641DC" w:rsidRPr="008F3F83" w:rsidRDefault="000641DC" w:rsidP="00396C55">
            <w:pPr>
              <w:pStyle w:val="HWStoryText"/>
              <w:rPr>
                <w:sz w:val="24"/>
                <w:szCs w:val="18"/>
              </w:rPr>
            </w:pPr>
            <w:r w:rsidRPr="008F3F83">
              <w:rPr>
                <w:sz w:val="24"/>
                <w:szCs w:val="18"/>
              </w:rPr>
              <w:lastRenderedPageBreak/>
              <w:t>Speaking to people in her community, the researcher identified black women’s experiences of maternity as a topic of concern. Healthwatch helped her develop a research plan to investigate this, and provided skills development, mentoring and other resources to support her to do the research.</w:t>
            </w:r>
          </w:p>
          <w:p w14:paraId="17B35868" w14:textId="77777777" w:rsidR="00110117" w:rsidRDefault="00110117" w:rsidP="00396C55">
            <w:pPr>
              <w:pStyle w:val="HWStoryText"/>
              <w:rPr>
                <w:sz w:val="24"/>
                <w:szCs w:val="18"/>
              </w:rPr>
            </w:pPr>
            <w:r w:rsidRPr="00110117">
              <w:rPr>
                <w:sz w:val="24"/>
                <w:szCs w:val="18"/>
              </w:rPr>
              <w:t>The researcher organised a community event that brought together women to discuss their experiences. The women shared their stories and identified areas for improvement in maternity care. The conversation was recorded on video.</w:t>
            </w:r>
          </w:p>
          <w:p w14:paraId="2597EE88" w14:textId="4D4EC115" w:rsidR="000641DC" w:rsidRDefault="000641DC" w:rsidP="00396C55">
            <w:pPr>
              <w:pStyle w:val="HWStoryText"/>
              <w:rPr>
                <w:sz w:val="24"/>
                <w:szCs w:val="18"/>
              </w:rPr>
            </w:pPr>
            <w:r w:rsidRPr="008F3F83">
              <w:rPr>
                <w:sz w:val="24"/>
                <w:szCs w:val="18"/>
              </w:rPr>
              <w:t xml:space="preserve">The researcher and the women showed the video at a screening event </w:t>
            </w:r>
            <w:r w:rsidR="00110117">
              <w:rPr>
                <w:sz w:val="24"/>
                <w:szCs w:val="18"/>
              </w:rPr>
              <w:t xml:space="preserve">attended by </w:t>
            </w:r>
            <w:r w:rsidRPr="008F3F83">
              <w:rPr>
                <w:sz w:val="24"/>
                <w:szCs w:val="18"/>
              </w:rPr>
              <w:t xml:space="preserve">health professionals from local maternity services. This led to a commitment to work more closely with women from black and minority ethnic communities and explore more culturally appropriate ways of delivering maternity services. </w:t>
            </w:r>
          </w:p>
          <w:p w14:paraId="50A6A1A9" w14:textId="77777777" w:rsidR="000641DC" w:rsidRPr="00546098" w:rsidRDefault="000641DC" w:rsidP="00396C55">
            <w:pPr>
              <w:pStyle w:val="HWStoryText"/>
            </w:pPr>
            <w:r w:rsidRPr="00546098">
              <w:rPr>
                <w:sz w:val="24"/>
                <w:szCs w:val="18"/>
              </w:rPr>
              <w:t xml:space="preserve">You can watch the video produced </w:t>
            </w:r>
            <w:hyperlink r:id="rId15" w:history="1">
              <w:r w:rsidRPr="00546098">
                <w:rPr>
                  <w:rStyle w:val="Hyperlink"/>
                  <w:sz w:val="24"/>
                  <w:szCs w:val="18"/>
                </w:rPr>
                <w:t>here</w:t>
              </w:r>
            </w:hyperlink>
            <w:r w:rsidRPr="00546098">
              <w:rPr>
                <w:sz w:val="24"/>
                <w:szCs w:val="18"/>
              </w:rPr>
              <w:t>.</w:t>
            </w:r>
          </w:p>
        </w:tc>
      </w:tr>
    </w:tbl>
    <w:p w14:paraId="195C3115" w14:textId="189333CB" w:rsidR="000641DC" w:rsidRDefault="000641DC" w:rsidP="00DC61E3">
      <w:pPr>
        <w:pStyle w:val="HWHeading2"/>
      </w:pPr>
      <w:r>
        <w:lastRenderedPageBreak/>
        <w:t xml:space="preserve">Model two: working with community </w:t>
      </w:r>
      <w:r w:rsidR="00DC61E3">
        <w:t>researcher</w:t>
      </w:r>
      <w:r>
        <w:t xml:space="preserve"> on a specific issue</w:t>
      </w:r>
    </w:p>
    <w:p w14:paraId="4C46E898" w14:textId="77777777" w:rsidR="00C47A72" w:rsidRDefault="00C47A72" w:rsidP="000641DC">
      <w:pPr>
        <w:pStyle w:val="HWNormalText"/>
      </w:pPr>
      <w:r w:rsidRPr="00C47A72">
        <w:t>In this model, you work with community researchers in a much more predefined way. You have a specific research brief and recruit one or more community researchers to carry out the research.</w:t>
      </w:r>
    </w:p>
    <w:p w14:paraId="2EC5E630" w14:textId="77777777" w:rsidR="00C171C1" w:rsidRDefault="00C171C1" w:rsidP="000641DC">
      <w:pPr>
        <w:pStyle w:val="HWNormalText"/>
      </w:pPr>
      <w:r w:rsidRPr="00C171C1">
        <w:t>As in the first model, you then provide those community researchers with the support and training they need to conduct that research.</w:t>
      </w:r>
    </w:p>
    <w:p w14:paraId="1693F3CB" w14:textId="695AD2B4" w:rsidR="000641DC" w:rsidRDefault="00CB44CA" w:rsidP="000641DC">
      <w:pPr>
        <w:pStyle w:val="HWNormalText"/>
      </w:pPr>
      <w:r w:rsidRPr="00CB44CA">
        <w:t>This is a shorter-term and more focused approach. There is less emphasis on community participation within the research process in this model than in the first. Instead, the emphasis is on enabling voices to be heard by the health and care system.</w:t>
      </w:r>
    </w:p>
    <w:tbl>
      <w:tblPr>
        <w:tblStyle w:val="HWStoryPink"/>
        <w:tblW w:w="10490" w:type="dxa"/>
        <w:tblLook w:val="04A0" w:firstRow="1" w:lastRow="0" w:firstColumn="1" w:lastColumn="0" w:noHBand="0" w:noVBand="1"/>
      </w:tblPr>
      <w:tblGrid>
        <w:gridCol w:w="10490"/>
      </w:tblGrid>
      <w:tr w:rsidR="000641DC" w14:paraId="23CA74C9" w14:textId="77777777" w:rsidTr="00396C55">
        <w:trPr>
          <w:cnfStyle w:val="100000000000" w:firstRow="1" w:lastRow="0" w:firstColumn="0" w:lastColumn="0" w:oddVBand="0" w:evenVBand="0" w:oddHBand="0" w:evenHBand="0" w:firstRowFirstColumn="0" w:firstRowLastColumn="0" w:lastRowFirstColumn="0" w:lastRowLastColumn="0"/>
        </w:trPr>
        <w:tc>
          <w:tcPr>
            <w:tcW w:w="10490" w:type="dxa"/>
          </w:tcPr>
          <w:p w14:paraId="44FC72BC" w14:textId="77777777" w:rsidR="000641DC" w:rsidRPr="008F3F83" w:rsidRDefault="000641DC" w:rsidP="00396C55">
            <w:pPr>
              <w:pStyle w:val="HWStoryTitle"/>
              <w:rPr>
                <w:sz w:val="24"/>
                <w:szCs w:val="18"/>
              </w:rPr>
            </w:pPr>
            <w:r w:rsidRPr="008F3F83">
              <w:rPr>
                <w:sz w:val="24"/>
                <w:szCs w:val="18"/>
              </w:rPr>
              <w:t>This model in practice</w:t>
            </w:r>
          </w:p>
        </w:tc>
      </w:tr>
      <w:tr w:rsidR="000641DC" w14:paraId="4DB36D59" w14:textId="77777777" w:rsidTr="00396C55">
        <w:tc>
          <w:tcPr>
            <w:tcW w:w="10490" w:type="dxa"/>
          </w:tcPr>
          <w:p w14:paraId="5BBD7B53" w14:textId="5AD7A4A8" w:rsidR="008C3BC0" w:rsidRDefault="008C3BC0" w:rsidP="00396C55">
            <w:pPr>
              <w:pStyle w:val="HWStoryText"/>
              <w:rPr>
                <w:sz w:val="24"/>
                <w:szCs w:val="18"/>
              </w:rPr>
            </w:pPr>
            <w:r w:rsidRPr="008C3BC0">
              <w:rPr>
                <w:sz w:val="24"/>
                <w:szCs w:val="18"/>
              </w:rPr>
              <w:t>Healthwatch Oxford</w:t>
            </w:r>
            <w:r>
              <w:rPr>
                <w:sz w:val="24"/>
                <w:szCs w:val="18"/>
              </w:rPr>
              <w:t>shire</w:t>
            </w:r>
            <w:r w:rsidRPr="008C3BC0">
              <w:rPr>
                <w:sz w:val="24"/>
                <w:szCs w:val="18"/>
              </w:rPr>
              <w:t xml:space="preserve"> wanted to learn more about barriers to accessing NHS health and care services and speaking up about concerns. They recruited two community researchers from the Arabic-speaking and Albanian communities. They provided them with a clearly defined brief to conduct focus groups or in-depth interviews with a diverse mix of people from their respective communities.</w:t>
            </w:r>
          </w:p>
          <w:p w14:paraId="72BB1493" w14:textId="4B05EE71" w:rsidR="000641DC" w:rsidRPr="00FA2C34" w:rsidRDefault="00100303" w:rsidP="00396C55">
            <w:pPr>
              <w:pStyle w:val="HWStoryText"/>
              <w:rPr>
                <w:sz w:val="24"/>
                <w:szCs w:val="18"/>
              </w:rPr>
            </w:pPr>
            <w:r w:rsidRPr="00100303">
              <w:rPr>
                <w:sz w:val="24"/>
                <w:szCs w:val="18"/>
              </w:rPr>
              <w:t>Healthwatch Oxford</w:t>
            </w:r>
            <w:r>
              <w:rPr>
                <w:sz w:val="24"/>
                <w:szCs w:val="18"/>
              </w:rPr>
              <w:t>shire</w:t>
            </w:r>
            <w:r w:rsidRPr="00100303">
              <w:rPr>
                <w:sz w:val="24"/>
                <w:szCs w:val="18"/>
              </w:rPr>
              <w:t xml:space="preserve"> provided the community researchers with the support they needed to undertake this </w:t>
            </w:r>
            <w:proofErr w:type="gramStart"/>
            <w:r w:rsidRPr="00100303">
              <w:rPr>
                <w:sz w:val="24"/>
                <w:szCs w:val="18"/>
              </w:rPr>
              <w:t>project, and</w:t>
            </w:r>
            <w:proofErr w:type="gramEnd"/>
            <w:r w:rsidRPr="00100303">
              <w:rPr>
                <w:sz w:val="24"/>
                <w:szCs w:val="18"/>
              </w:rPr>
              <w:t xml:space="preserve"> then turned their findings into a report.</w:t>
            </w:r>
            <w:r>
              <w:rPr>
                <w:sz w:val="24"/>
                <w:szCs w:val="18"/>
              </w:rPr>
              <w:t xml:space="preserve"> Healthwatch</w:t>
            </w:r>
            <w:r w:rsidR="000641DC" w:rsidRPr="00FA2C34">
              <w:rPr>
                <w:sz w:val="24"/>
                <w:szCs w:val="18"/>
              </w:rPr>
              <w:t xml:space="preserve"> shared </w:t>
            </w:r>
            <w:r>
              <w:rPr>
                <w:sz w:val="24"/>
                <w:szCs w:val="18"/>
              </w:rPr>
              <w:t xml:space="preserve">the report </w:t>
            </w:r>
            <w:r w:rsidR="000641DC" w:rsidRPr="00FA2C34">
              <w:rPr>
                <w:sz w:val="24"/>
                <w:szCs w:val="18"/>
              </w:rPr>
              <w:t xml:space="preserve">with local health and care providers at the Oxfordshire Health and Wellbeing board. </w:t>
            </w:r>
            <w:r>
              <w:rPr>
                <w:sz w:val="24"/>
                <w:szCs w:val="18"/>
              </w:rPr>
              <w:t>They shared a</w:t>
            </w:r>
            <w:r w:rsidR="000641DC" w:rsidRPr="00FA2C34">
              <w:rPr>
                <w:sz w:val="24"/>
                <w:szCs w:val="18"/>
              </w:rPr>
              <w:t xml:space="preserve"> summary in English, Albanian and Arabic</w:t>
            </w:r>
            <w:r>
              <w:rPr>
                <w:sz w:val="24"/>
                <w:szCs w:val="18"/>
              </w:rPr>
              <w:t xml:space="preserve"> </w:t>
            </w:r>
            <w:r w:rsidR="000641DC" w:rsidRPr="00FA2C34">
              <w:rPr>
                <w:sz w:val="24"/>
                <w:szCs w:val="18"/>
              </w:rPr>
              <w:t>with the communities.</w:t>
            </w:r>
          </w:p>
          <w:p w14:paraId="0E1130DC" w14:textId="77777777" w:rsidR="000641DC" w:rsidRPr="00FA2C34" w:rsidRDefault="000641DC" w:rsidP="00396C55">
            <w:pPr>
              <w:pStyle w:val="HWStoryText"/>
              <w:rPr>
                <w:sz w:val="24"/>
                <w:szCs w:val="18"/>
              </w:rPr>
            </w:pPr>
            <w:r w:rsidRPr="00FA2C34">
              <w:rPr>
                <w:sz w:val="24"/>
                <w:szCs w:val="18"/>
              </w:rPr>
              <w:lastRenderedPageBreak/>
              <w:t>The local hospital trust noted the need for better interpreting support and is working to improve its offer.</w:t>
            </w:r>
          </w:p>
          <w:p w14:paraId="448C194D" w14:textId="77777777" w:rsidR="000641DC" w:rsidRPr="00546098" w:rsidRDefault="000641DC" w:rsidP="00396C55">
            <w:pPr>
              <w:pStyle w:val="HWStoryText"/>
            </w:pPr>
          </w:p>
        </w:tc>
      </w:tr>
    </w:tbl>
    <w:p w14:paraId="7776C905" w14:textId="77777777" w:rsidR="000641DC" w:rsidRDefault="000641DC" w:rsidP="000641DC">
      <w:pPr>
        <w:pStyle w:val="HWHeading1"/>
      </w:pPr>
      <w:bookmarkStart w:id="4" w:name="_Toc190424880"/>
      <w:r>
        <w:lastRenderedPageBreak/>
        <w:t>Five steps to using a community researcher approach</w:t>
      </w:r>
      <w:bookmarkEnd w:id="4"/>
    </w:p>
    <w:p w14:paraId="274BBD01" w14:textId="77777777" w:rsidR="00246A0F" w:rsidRDefault="00246A0F" w:rsidP="00246A0F">
      <w:pPr>
        <w:pStyle w:val="HWNormalText"/>
        <w:rPr>
          <w:b/>
          <w:bCs/>
        </w:rPr>
      </w:pPr>
      <w:r w:rsidRPr="00246A0F">
        <w:t>There are five stages to conducting effective community research: plan, observe, act, disseminate, and reflect.</w:t>
      </w:r>
    </w:p>
    <w:p w14:paraId="6BE528A3" w14:textId="4F706E7E" w:rsidR="000641DC" w:rsidRDefault="000641DC" w:rsidP="00DC61E3">
      <w:pPr>
        <w:pStyle w:val="HWHeading2"/>
      </w:pPr>
      <w:r>
        <w:t>Plan</w:t>
      </w:r>
    </w:p>
    <w:p w14:paraId="5154E90E" w14:textId="77777777" w:rsidR="000641DC" w:rsidRDefault="000641DC" w:rsidP="000641DC">
      <w:pPr>
        <w:pStyle w:val="HWNormalText"/>
      </w:pPr>
      <w:r>
        <w:t>First, set up your internal procedures. You need to establish the scope, timeline and budget for the project, including reimbursement process for community members’ time. You also need to plan how you will protect staff time to provide the necessary support, training and mentoring to the community researchers.</w:t>
      </w:r>
    </w:p>
    <w:p w14:paraId="2A34F540" w14:textId="49C7A66A" w:rsidR="002371FD" w:rsidRPr="002371FD" w:rsidRDefault="00CA1CFA" w:rsidP="00CA1CFA">
      <w:pPr>
        <w:pStyle w:val="HWNormalText"/>
      </w:pPr>
      <w:r w:rsidRPr="00CA1CFA">
        <w:t>Once you have set up your project, you can recruit community</w:t>
      </w:r>
      <w:r w:rsidR="009F57E6">
        <w:t xml:space="preserve"> </w:t>
      </w:r>
      <w:r w:rsidR="002371FD" w:rsidRPr="002371FD">
        <w:t>researchers through local connections. You must then provide them with the necessary training and induction to conduct the research.</w:t>
      </w:r>
    </w:p>
    <w:p w14:paraId="2CA31787" w14:textId="77777777" w:rsidR="002371FD" w:rsidRDefault="002371FD" w:rsidP="00CA1CFA">
      <w:pPr>
        <w:pStyle w:val="HWNormalText"/>
        <w:rPr>
          <w:b/>
          <w:bCs/>
        </w:rPr>
      </w:pPr>
      <w:r w:rsidRPr="002371FD">
        <w:t>The research process then begins. If you are not predetermining the research focus, at this point, you support the researchers in identifying a theme or problem in collaboration with the community and help them turn it into a research question.</w:t>
      </w:r>
    </w:p>
    <w:p w14:paraId="541FC104" w14:textId="3270CE32" w:rsidR="000641DC" w:rsidRDefault="000641DC" w:rsidP="002371FD">
      <w:pPr>
        <w:pStyle w:val="HWHeading2"/>
      </w:pPr>
      <w:r>
        <w:t>Observe</w:t>
      </w:r>
    </w:p>
    <w:p w14:paraId="613C8893" w14:textId="0B481CDC" w:rsidR="000641DC" w:rsidRDefault="000641DC" w:rsidP="000641DC">
      <w:pPr>
        <w:pStyle w:val="HWNormalText"/>
      </w:pPr>
      <w:r>
        <w:t>Your community researchers now have a research question</w:t>
      </w:r>
      <w:r w:rsidR="009F57E6">
        <w:t>,</w:t>
      </w:r>
      <w:r>
        <w:t xml:space="preserve"> and so you can work with them to develop a research method and a plan for engaging people in the community. </w:t>
      </w:r>
    </w:p>
    <w:p w14:paraId="6A504C3C" w14:textId="77777777" w:rsidR="000641DC" w:rsidRDefault="000641DC" w:rsidP="000641DC">
      <w:pPr>
        <w:pStyle w:val="HWNormalText"/>
      </w:pPr>
      <w:r>
        <w:t>You should provide whatever support your researchers need to undertake their research. Work with them to ensure that the research is inclusive, culturally appropriate and accessible, removing any barriers to participation you may identify.</w:t>
      </w:r>
    </w:p>
    <w:p w14:paraId="25899C06" w14:textId="6E4ECD23" w:rsidR="000641DC" w:rsidRDefault="000641DC" w:rsidP="000641DC">
      <w:pPr>
        <w:pStyle w:val="HWNormalText"/>
      </w:pPr>
      <w:r>
        <w:t xml:space="preserve">Along with your researchers, don’t shy away from challenges. The process of community research is </w:t>
      </w:r>
      <w:proofErr w:type="gramStart"/>
      <w:r>
        <w:t>valuable in itself</w:t>
      </w:r>
      <w:proofErr w:type="gramEnd"/>
      <w:r>
        <w:t xml:space="preserve">. </w:t>
      </w:r>
      <w:r w:rsidR="007D7022" w:rsidRPr="007D7022">
        <w:t>Working with your researchers and the community to problem solve, find solutions to challenges and dismantle barriers to participation is a significant aspect of this approach.</w:t>
      </w:r>
    </w:p>
    <w:p w14:paraId="2B33602E" w14:textId="77777777" w:rsidR="000641DC" w:rsidRDefault="000641DC" w:rsidP="00DC61E3">
      <w:pPr>
        <w:pStyle w:val="HWHeading2"/>
      </w:pPr>
      <w:r>
        <w:lastRenderedPageBreak/>
        <w:t>Act</w:t>
      </w:r>
    </w:p>
    <w:p w14:paraId="6CFDA1EB" w14:textId="77777777" w:rsidR="000641DC" w:rsidRDefault="000641DC" w:rsidP="000641DC">
      <w:pPr>
        <w:pStyle w:val="HWNormalText"/>
      </w:pPr>
      <w:r>
        <w:t>Based on what you hear during the research process, decide the way forward and identify action points. You should do this collaboratively with your community researchers.</w:t>
      </w:r>
    </w:p>
    <w:p w14:paraId="5939B313" w14:textId="7716C85F" w:rsidR="000641DC" w:rsidRDefault="000641DC" w:rsidP="000641DC">
      <w:pPr>
        <w:pStyle w:val="HWNormalText"/>
      </w:pPr>
      <w:r>
        <w:t xml:space="preserve">With the community, agree </w:t>
      </w:r>
      <w:r w:rsidR="00E423D2">
        <w:t xml:space="preserve">on </w:t>
      </w:r>
      <w:r>
        <w:t>what practical changes are needed and identify where, how and by whom.</w:t>
      </w:r>
    </w:p>
    <w:p w14:paraId="1597BFBD" w14:textId="77777777" w:rsidR="000641DC" w:rsidRDefault="000641DC" w:rsidP="000641DC">
      <w:pPr>
        <w:pStyle w:val="HWNormalText"/>
      </w:pPr>
      <w:r>
        <w:t>Decide how you will tell the story.</w:t>
      </w:r>
    </w:p>
    <w:p w14:paraId="79A37559" w14:textId="77777777" w:rsidR="000641DC" w:rsidRDefault="000641DC" w:rsidP="00DC61E3">
      <w:pPr>
        <w:pStyle w:val="HWHeading2"/>
      </w:pPr>
      <w:r>
        <w:t>Disseminate</w:t>
      </w:r>
    </w:p>
    <w:p w14:paraId="7F13F700" w14:textId="77777777" w:rsidR="00E423D2" w:rsidRDefault="00E423D2" w:rsidP="000641DC">
      <w:pPr>
        <w:pStyle w:val="HWNormalText"/>
      </w:pPr>
      <w:r w:rsidRPr="00E423D2">
        <w:t>You now need to ensure the right people hear your researchers’ findings. You should help them share insights and lessons with local health and care providers, the Health and Wellbeing Board, and any other relevant stakeholders.</w:t>
      </w:r>
    </w:p>
    <w:p w14:paraId="391FC9C3" w14:textId="77777777" w:rsidR="00B52920" w:rsidRDefault="00B52920" w:rsidP="00B52920">
      <w:pPr>
        <w:pStyle w:val="HWNormalText"/>
        <w:rPr>
          <w:b/>
          <w:bCs/>
        </w:rPr>
      </w:pPr>
      <w:r w:rsidRPr="00B52920">
        <w:t xml:space="preserve">Crucially, ensure that you follow up with stakeholders to determine what action has been taken. It’s essential to provide feedback to the community about what has happened </w:t>
      </w:r>
      <w:proofErr w:type="gramStart"/>
      <w:r w:rsidRPr="00B52920">
        <w:t>as a result of</w:t>
      </w:r>
      <w:proofErr w:type="gramEnd"/>
      <w:r w:rsidRPr="00B52920">
        <w:t xml:space="preserve"> their engagement.</w:t>
      </w:r>
    </w:p>
    <w:p w14:paraId="45F49235" w14:textId="06605815" w:rsidR="000641DC" w:rsidRDefault="000641DC" w:rsidP="00DC61E3">
      <w:pPr>
        <w:pStyle w:val="HWHeading2"/>
      </w:pPr>
      <w:r>
        <w:t>Reflect</w:t>
      </w:r>
    </w:p>
    <w:p w14:paraId="62FA968A" w14:textId="77777777" w:rsidR="00B07197" w:rsidRDefault="000641DC" w:rsidP="000641DC">
      <w:pPr>
        <w:pStyle w:val="HWNormalText"/>
      </w:pPr>
      <w:r>
        <w:t xml:space="preserve">Change may not be immediate, so you should follow impact over time. </w:t>
      </w:r>
      <w:r w:rsidR="00B07197" w:rsidRPr="00B07197">
        <w:t>Stay in touch with your researchers and the community, so you continue to provide feedback on any actions that come from their work.</w:t>
      </w:r>
    </w:p>
    <w:p w14:paraId="700CE85B" w14:textId="514F1C39" w:rsidR="000641DC" w:rsidRDefault="000641DC" w:rsidP="000641DC">
      <w:pPr>
        <w:pStyle w:val="HWNormalText"/>
      </w:pPr>
      <w:r>
        <w:t>Debrief with your researchers at the end of the project. They will have feedback that can help you understand what worked well and what didn’t, so that you can improve the process for next time.</w:t>
      </w:r>
    </w:p>
    <w:p w14:paraId="418F6C99" w14:textId="3B7041D3" w:rsidR="000641DC" w:rsidRDefault="00AA5359" w:rsidP="00990A77">
      <w:pPr>
        <w:pStyle w:val="HWHeading1"/>
      </w:pPr>
      <w:bookmarkStart w:id="5" w:name="_Toc190424881"/>
      <w:r>
        <w:t>Resource considerations for community research</w:t>
      </w:r>
      <w:bookmarkEnd w:id="5"/>
    </w:p>
    <w:p w14:paraId="0CAA5B0D" w14:textId="77777777" w:rsidR="00077B06" w:rsidRDefault="00077B06" w:rsidP="00077B06">
      <w:pPr>
        <w:pStyle w:val="HWNormalText"/>
        <w:rPr>
          <w:b/>
          <w:bCs/>
        </w:rPr>
      </w:pPr>
      <w:r w:rsidRPr="00077B06">
        <w:t>Conducting research through community researchers is a resource-intensive approach. Below is a list of resources you would need to consider before committing to using this method.</w:t>
      </w:r>
    </w:p>
    <w:p w14:paraId="640EF992" w14:textId="5AA1CFB6" w:rsidR="001254B1" w:rsidRDefault="001254B1" w:rsidP="00DC61E3">
      <w:pPr>
        <w:pStyle w:val="HWHeading2"/>
      </w:pPr>
      <w:r>
        <w:t>Admin, induction and support for community researcher(s)</w:t>
      </w:r>
    </w:p>
    <w:p w14:paraId="2D894143" w14:textId="06FA00C7" w:rsidR="001254B1" w:rsidRDefault="001254B1" w:rsidP="00966A6E">
      <w:pPr>
        <w:pStyle w:val="HWBullets"/>
      </w:pPr>
      <w:r>
        <w:t>Recruitment</w:t>
      </w:r>
    </w:p>
    <w:p w14:paraId="05997E69" w14:textId="40788FB6" w:rsidR="001254B1" w:rsidRDefault="001254B1" w:rsidP="00966A6E">
      <w:pPr>
        <w:pStyle w:val="HWBullets"/>
      </w:pPr>
      <w:r>
        <w:lastRenderedPageBreak/>
        <w:t>Healthwatch induction, policies and procedures</w:t>
      </w:r>
    </w:p>
    <w:p w14:paraId="6C93382A" w14:textId="3D32C2D8" w:rsidR="001254B1" w:rsidRDefault="001254B1" w:rsidP="00966A6E">
      <w:pPr>
        <w:pStyle w:val="HWBullets"/>
      </w:pPr>
      <w:r>
        <w:t>DBS check, safeguarding and GDPR</w:t>
      </w:r>
    </w:p>
    <w:p w14:paraId="66DEA209" w14:textId="7191B8E8" w:rsidR="001254B1" w:rsidRDefault="001254B1" w:rsidP="00966A6E">
      <w:pPr>
        <w:pStyle w:val="HWBullets"/>
      </w:pPr>
      <w:r>
        <w:t>Comms support with the project (e.g., social media, posters and report)</w:t>
      </w:r>
    </w:p>
    <w:p w14:paraId="0D21269A" w14:textId="0244B504" w:rsidR="001254B1" w:rsidRDefault="001254B1" w:rsidP="001254B1">
      <w:pPr>
        <w:pStyle w:val="HWBullets"/>
      </w:pPr>
      <w:r>
        <w:t>Ongoing troubleshooting, mentoring and admin support</w:t>
      </w:r>
    </w:p>
    <w:p w14:paraId="4BD2A90D" w14:textId="77777777" w:rsidR="001254B1" w:rsidRDefault="001254B1" w:rsidP="00DC61E3">
      <w:pPr>
        <w:pStyle w:val="HWHeading2"/>
      </w:pPr>
      <w:r>
        <w:t>Training for community researcher(s)</w:t>
      </w:r>
    </w:p>
    <w:p w14:paraId="4A20FA06" w14:textId="43D00B60" w:rsidR="001254B1" w:rsidRDefault="001254B1" w:rsidP="00966A6E">
      <w:pPr>
        <w:pStyle w:val="HWNormalText"/>
      </w:pPr>
      <w:r>
        <w:t>We suggest allowing up to three days of training, to cover:</w:t>
      </w:r>
    </w:p>
    <w:p w14:paraId="6E249BE8" w14:textId="07DD4AA4" w:rsidR="001254B1" w:rsidRDefault="001254B1" w:rsidP="00966A6E">
      <w:pPr>
        <w:pStyle w:val="HWBullets"/>
      </w:pPr>
      <w:r>
        <w:t>Understanding models of health and health determinants</w:t>
      </w:r>
    </w:p>
    <w:p w14:paraId="0D7E0A6C" w14:textId="4547EFF2" w:rsidR="001254B1" w:rsidRDefault="001254B1" w:rsidP="00966A6E">
      <w:pPr>
        <w:pStyle w:val="HWBullets"/>
      </w:pPr>
      <w:r>
        <w:t>Community participatory action research – what and why?</w:t>
      </w:r>
    </w:p>
    <w:p w14:paraId="37627D85" w14:textId="15B90AC2" w:rsidR="001254B1" w:rsidRDefault="001254B1" w:rsidP="00966A6E">
      <w:pPr>
        <w:pStyle w:val="HWBullets"/>
      </w:pPr>
      <w:r>
        <w:t>Action Research, the ‘research cycle’ and identifying change</w:t>
      </w:r>
    </w:p>
    <w:p w14:paraId="58761834" w14:textId="4D9749B1" w:rsidR="001254B1" w:rsidRDefault="001254B1" w:rsidP="00966A6E">
      <w:pPr>
        <w:pStyle w:val="HWBullets"/>
      </w:pPr>
      <w:r>
        <w:t>‘Good research’, ethics, data handling, GDPR, solving challenges</w:t>
      </w:r>
    </w:p>
    <w:p w14:paraId="458B6845" w14:textId="643668C8" w:rsidR="001254B1" w:rsidRDefault="001254B1" w:rsidP="00966A6E">
      <w:pPr>
        <w:pStyle w:val="HWBullets"/>
      </w:pPr>
      <w:r>
        <w:t>Scoping and planning your research</w:t>
      </w:r>
    </w:p>
    <w:p w14:paraId="102BEFB1" w14:textId="4B3953AE" w:rsidR="001254B1" w:rsidRDefault="001254B1" w:rsidP="00966A6E">
      <w:pPr>
        <w:pStyle w:val="HWBullets"/>
      </w:pPr>
      <w:r>
        <w:t>Research methods, tools and approaches</w:t>
      </w:r>
    </w:p>
    <w:p w14:paraId="00971DDD" w14:textId="10C67016" w:rsidR="001254B1" w:rsidRDefault="001254B1" w:rsidP="00966A6E">
      <w:pPr>
        <w:pStyle w:val="HWBullets"/>
      </w:pPr>
      <w:r>
        <w:t>Telling the story, data collection and analysis</w:t>
      </w:r>
    </w:p>
    <w:p w14:paraId="4061627B" w14:textId="0B1B6DB8" w:rsidR="001254B1" w:rsidRDefault="001254B1" w:rsidP="00966A6E">
      <w:pPr>
        <w:pStyle w:val="HWBullets"/>
      </w:pPr>
      <w:r>
        <w:t>Report development and dissemination, building confidence</w:t>
      </w:r>
    </w:p>
    <w:p w14:paraId="730BCF31" w14:textId="3F0BD3DB" w:rsidR="001254B1" w:rsidRDefault="001254B1" w:rsidP="00966A6E">
      <w:pPr>
        <w:pStyle w:val="HWBullets"/>
      </w:pPr>
      <w:r>
        <w:t>Feeding back to the community and ‘what next?’</w:t>
      </w:r>
    </w:p>
    <w:p w14:paraId="6F216A94" w14:textId="2303C13E" w:rsidR="001254B1" w:rsidRDefault="001254B1" w:rsidP="001254B1">
      <w:pPr>
        <w:pStyle w:val="HWBullets"/>
      </w:pPr>
      <w:r>
        <w:t>Next steps and learning</w:t>
      </w:r>
    </w:p>
    <w:p w14:paraId="31B573CF" w14:textId="22E0631B" w:rsidR="001254B1" w:rsidRDefault="001254B1" w:rsidP="00DC61E3">
      <w:pPr>
        <w:pStyle w:val="HWHeading2"/>
      </w:pPr>
      <w:r>
        <w:t>Equipment and IT for community researcher(s)</w:t>
      </w:r>
    </w:p>
    <w:p w14:paraId="1928ACEF" w14:textId="5724A529" w:rsidR="001254B1" w:rsidRDefault="001254B1" w:rsidP="00966A6E">
      <w:pPr>
        <w:pStyle w:val="HWBullets"/>
      </w:pPr>
      <w:r>
        <w:t>Voice recorder, phone, ID lanyard</w:t>
      </w:r>
    </w:p>
    <w:p w14:paraId="487F1368" w14:textId="5A704D67" w:rsidR="001254B1" w:rsidRDefault="001254B1" w:rsidP="00966A6E">
      <w:pPr>
        <w:pStyle w:val="HWBullets"/>
      </w:pPr>
      <w:r>
        <w:t>Secure community researcher email and Dropbox access</w:t>
      </w:r>
    </w:p>
    <w:p w14:paraId="175B1C74" w14:textId="6597551E" w:rsidR="001254B1" w:rsidRDefault="001254B1" w:rsidP="001254B1">
      <w:pPr>
        <w:pStyle w:val="HWBullets"/>
      </w:pPr>
      <w:r>
        <w:t>Consider the need for dedicated IT research support, e.g. Smart Survey</w:t>
      </w:r>
    </w:p>
    <w:p w14:paraId="6B790FA7" w14:textId="3EAF7D77" w:rsidR="001254B1" w:rsidRDefault="001254B1" w:rsidP="00DC61E3">
      <w:pPr>
        <w:pStyle w:val="HWHeading2"/>
      </w:pPr>
      <w:r>
        <w:t>Reimbursement for community researcher(s)</w:t>
      </w:r>
    </w:p>
    <w:p w14:paraId="1E5A6D6F" w14:textId="0849D554" w:rsidR="001254B1" w:rsidRDefault="001254B1" w:rsidP="00966A6E">
      <w:pPr>
        <w:pStyle w:val="HWBullets"/>
      </w:pPr>
      <w:r>
        <w:t>Travel and subsistence costs</w:t>
      </w:r>
    </w:p>
    <w:p w14:paraId="3D9315FC" w14:textId="1E1EFE74" w:rsidR="001254B1" w:rsidRDefault="001254B1" w:rsidP="001254B1">
      <w:pPr>
        <w:pStyle w:val="HWBullets"/>
      </w:pPr>
      <w:r>
        <w:t>Reimbursement for time (training, research and dissemination)</w:t>
      </w:r>
    </w:p>
    <w:p w14:paraId="199B2FB5" w14:textId="0CD7F04E" w:rsidR="001254B1" w:rsidRDefault="001254B1" w:rsidP="00DC61E3">
      <w:pPr>
        <w:pStyle w:val="HWHeading2"/>
      </w:pPr>
      <w:r>
        <w:t>Project support</w:t>
      </w:r>
    </w:p>
    <w:p w14:paraId="7182015A" w14:textId="0C7BAA37" w:rsidR="001254B1" w:rsidRDefault="001254B1" w:rsidP="00966A6E">
      <w:pPr>
        <w:pStyle w:val="HWBullets"/>
      </w:pPr>
      <w:r>
        <w:t>Events fund (e.g., focus group, event costs, vouchers for attendees)</w:t>
      </w:r>
    </w:p>
    <w:p w14:paraId="237AC84B" w14:textId="7C87C7C5" w:rsidR="001254B1" w:rsidRDefault="001254B1" w:rsidP="00966A6E">
      <w:pPr>
        <w:pStyle w:val="HWBullets"/>
      </w:pPr>
      <w:r>
        <w:t>Disseminating findings (e.g., film production, leaflets, reports)</w:t>
      </w:r>
    </w:p>
    <w:p w14:paraId="3A1F3C28" w14:textId="24907620" w:rsidR="001254B1" w:rsidRDefault="001254B1" w:rsidP="001254B1">
      <w:pPr>
        <w:pStyle w:val="HWBullets"/>
      </w:pPr>
      <w:r>
        <w:t>Translation and interpreting, childcare and other costs</w:t>
      </w:r>
    </w:p>
    <w:p w14:paraId="2F6609C2" w14:textId="1ACDD568" w:rsidR="001254B1" w:rsidRDefault="001254B1" w:rsidP="00DC61E3">
      <w:pPr>
        <w:pStyle w:val="HWHeading2"/>
      </w:pPr>
      <w:r>
        <w:lastRenderedPageBreak/>
        <w:t>Healthwatch staff time and skills</w:t>
      </w:r>
    </w:p>
    <w:p w14:paraId="78912BEB" w14:textId="70CD74BC" w:rsidR="001254B1" w:rsidRDefault="001254B1" w:rsidP="00966A6E">
      <w:pPr>
        <w:pStyle w:val="HWBullets"/>
      </w:pPr>
      <w:r>
        <w:t>Dedicated staff time ongoing through the project: training, mentoring, support and supervision, dissemination (estimated at one day/week on average over nine months)</w:t>
      </w:r>
    </w:p>
    <w:p w14:paraId="744ECB68" w14:textId="1743B2CB" w:rsidR="001254B1" w:rsidRDefault="001254B1" w:rsidP="00966A6E">
      <w:pPr>
        <w:pStyle w:val="HWBullets"/>
      </w:pPr>
      <w:r>
        <w:t>Office management support: budget, procedures etc</w:t>
      </w:r>
    </w:p>
    <w:p w14:paraId="0DDE4A7F" w14:textId="6F0F68AD" w:rsidR="001254B1" w:rsidRDefault="001254B1" w:rsidP="00966A6E">
      <w:pPr>
        <w:pStyle w:val="HWBullets"/>
      </w:pPr>
      <w:r>
        <w:t>Social media and comms support</w:t>
      </w:r>
    </w:p>
    <w:p w14:paraId="45365E88" w14:textId="428EE4A3" w:rsidR="00815EC4" w:rsidRPr="00D47140" w:rsidRDefault="001254B1" w:rsidP="00D47140">
      <w:pPr>
        <w:pStyle w:val="HWBullets"/>
      </w:pPr>
      <w:r>
        <w:t>Skills in community development approaches</w:t>
      </w:r>
      <w:r w:rsidR="00D47140">
        <w:t>.</w:t>
      </w:r>
    </w:p>
    <w:p w14:paraId="463D8D46" w14:textId="36EBCC46" w:rsidR="004A43F3" w:rsidRPr="00D47140" w:rsidRDefault="004A43F3" w:rsidP="00D47140">
      <w:pPr>
        <w:pStyle w:val="HWNormalText"/>
        <w:rPr>
          <w:b/>
          <w:bCs/>
        </w:rPr>
        <w:sectPr w:rsidR="004A43F3" w:rsidRPr="00D47140" w:rsidSect="00762252">
          <w:headerReference w:type="default" r:id="rId16"/>
          <w:footerReference w:type="default" r:id="rId17"/>
          <w:pgSz w:w="11906" w:h="16838" w:code="9"/>
          <w:pgMar w:top="851" w:right="737" w:bottom="1304" w:left="737" w:header="624" w:footer="454" w:gutter="0"/>
          <w:pgNumType w:start="1"/>
          <w:cols w:space="708"/>
          <w:docGrid w:linePitch="360"/>
        </w:sectPr>
      </w:pPr>
    </w:p>
    <w:p w14:paraId="4261A33A" w14:textId="77777777" w:rsidR="004A43F3" w:rsidRPr="006147DF" w:rsidRDefault="004A43F3" w:rsidP="006147DF">
      <w:pPr>
        <w:pStyle w:val="HWEndPage1"/>
      </w:pPr>
      <w:r w:rsidRPr="006147DF">
        <w:lastRenderedPageBreak/>
        <w:t>Healthwatch England</w:t>
      </w:r>
      <w:r w:rsidR="001C4D43">
        <w:t xml:space="preserve"> </w:t>
      </w:r>
    </w:p>
    <w:p w14:paraId="36BFB805" w14:textId="77777777" w:rsidR="004A43F3" w:rsidRPr="006147DF" w:rsidRDefault="004A43F3" w:rsidP="006147DF">
      <w:pPr>
        <w:pStyle w:val="HWEndPage2"/>
      </w:pPr>
      <w:r w:rsidRPr="006147DF">
        <w:t>National Customer Service Centre</w:t>
      </w:r>
    </w:p>
    <w:p w14:paraId="74036A62" w14:textId="77777777" w:rsidR="004A43F3" w:rsidRPr="006147DF" w:rsidRDefault="004A43F3" w:rsidP="006147DF">
      <w:pPr>
        <w:pStyle w:val="HWEndPage2"/>
      </w:pPr>
      <w:r w:rsidRPr="006147DF">
        <w:t>Citygate</w:t>
      </w:r>
    </w:p>
    <w:p w14:paraId="4215383F" w14:textId="77777777" w:rsidR="004A43F3" w:rsidRPr="006147DF" w:rsidRDefault="004A43F3" w:rsidP="006147DF">
      <w:pPr>
        <w:pStyle w:val="HWEndPage2"/>
      </w:pPr>
      <w:r w:rsidRPr="006147DF">
        <w:t>Gallowgate</w:t>
      </w:r>
    </w:p>
    <w:p w14:paraId="431BB276" w14:textId="77777777" w:rsidR="004A43F3" w:rsidRPr="006147DF" w:rsidRDefault="004A43F3" w:rsidP="006147DF">
      <w:pPr>
        <w:pStyle w:val="HWEndPage2"/>
      </w:pPr>
      <w:r w:rsidRPr="006147DF">
        <w:t>Newcastle upon Tyne</w:t>
      </w:r>
    </w:p>
    <w:p w14:paraId="189A3016" w14:textId="77777777" w:rsidR="004A43F3" w:rsidRPr="006147DF" w:rsidRDefault="004A43F3" w:rsidP="006147DF">
      <w:pPr>
        <w:pStyle w:val="HWEndPage2"/>
      </w:pPr>
      <w:r w:rsidRPr="006147DF">
        <w:t>NE1 4PA</w:t>
      </w:r>
    </w:p>
    <w:p w14:paraId="6E337FF3" w14:textId="77777777" w:rsidR="006147DF" w:rsidRPr="006147DF" w:rsidRDefault="006147DF" w:rsidP="006147DF">
      <w:pPr>
        <w:pStyle w:val="HWEndPage2"/>
      </w:pPr>
    </w:p>
    <w:p w14:paraId="48C083D0" w14:textId="77777777" w:rsidR="004A43F3" w:rsidRPr="006147DF" w:rsidRDefault="004A43F3" w:rsidP="006147DF">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8240" behindDoc="1" locked="1" layoutInCell="1" allowOverlap="1" wp14:anchorId="6DFFFAEE" wp14:editId="104A7E64">
            <wp:simplePos x="0" y="0"/>
            <wp:positionH relativeFrom="page">
              <wp:posOffset>0</wp:posOffset>
            </wp:positionH>
            <wp:positionV relativeFrom="page">
              <wp:posOffset>0</wp:posOffset>
            </wp:positionV>
            <wp:extent cx="7562850" cy="10696575"/>
            <wp:effectExtent l="19050" t="0" r="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18" cstate="print"/>
                    <a:stretch>
                      <a:fillRect/>
                    </a:stretch>
                  </pic:blipFill>
                  <pic:spPr>
                    <a:xfrm>
                      <a:off x="0" y="0"/>
                      <a:ext cx="7562850" cy="10696575"/>
                    </a:xfrm>
                    <a:prstGeom prst="rect">
                      <a:avLst/>
                    </a:prstGeom>
                  </pic:spPr>
                </pic:pic>
              </a:graphicData>
            </a:graphic>
          </wp:anchor>
        </w:drawing>
      </w:r>
      <w:r w:rsidR="007D4EFC" w:rsidRPr="007D4EFC">
        <w:rPr>
          <w:noProof/>
          <w:lang w:eastAsia="en-GB"/>
        </w:rPr>
        <w:drawing>
          <wp:anchor distT="0" distB="0" distL="114300" distR="114300" simplePos="0" relativeHeight="251658245" behindDoc="0" locked="1" layoutInCell="1" allowOverlap="1" wp14:anchorId="14DF749C" wp14:editId="5B893393">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11" cstate="print"/>
                    <a:stretch>
                      <a:fillRect/>
                    </a:stretch>
                  </pic:blipFill>
                  <pic:spPr>
                    <a:xfrm>
                      <a:off x="0" y="0"/>
                      <a:ext cx="3343275" cy="914400"/>
                    </a:xfrm>
                    <a:prstGeom prst="rect">
                      <a:avLst/>
                    </a:prstGeom>
                  </pic:spPr>
                </pic:pic>
              </a:graphicData>
            </a:graphic>
          </wp:anchor>
        </w:drawing>
      </w:r>
    </w:p>
    <w:p w14:paraId="1C8DAA31" w14:textId="77777777" w:rsidR="004A43F3" w:rsidRPr="006147DF" w:rsidRDefault="004A43F3" w:rsidP="006147DF">
      <w:pPr>
        <w:pStyle w:val="HWEndPage3"/>
      </w:pPr>
      <w:r w:rsidRPr="006147DF">
        <w:t>t: 03000 683 000</w:t>
      </w:r>
    </w:p>
    <w:p w14:paraId="01C6D54C" w14:textId="77777777" w:rsidR="004A43F3" w:rsidRPr="006147DF" w:rsidRDefault="004A43F3" w:rsidP="006147DF">
      <w:pPr>
        <w:pStyle w:val="HWEndPage3"/>
      </w:pPr>
      <w:r w:rsidRPr="006147DF">
        <w:t>e: enquiries@healthwatch.co.uk</w:t>
      </w:r>
    </w:p>
    <w:p w14:paraId="43F180A1" w14:textId="77777777" w:rsidR="004A43F3" w:rsidRPr="006147DF" w:rsidRDefault="006147DF" w:rsidP="006147DF">
      <w:pPr>
        <w:pStyle w:val="HWEndPage3"/>
      </w:pPr>
      <w:r w:rsidRPr="006147DF">
        <w:rPr>
          <w:noProof/>
          <w:lang w:eastAsia="en-GB"/>
        </w:rPr>
        <w:drawing>
          <wp:anchor distT="0" distB="0" distL="0" distR="36195" simplePos="0" relativeHeight="251658243" behindDoc="0" locked="0" layoutInCell="1" allowOverlap="1" wp14:anchorId="398C835E" wp14:editId="5E987561">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19"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22E066ED" w14:textId="77777777" w:rsidR="004A43F3" w:rsidRPr="006147DF" w:rsidRDefault="006147DF" w:rsidP="006147DF">
      <w:pPr>
        <w:pStyle w:val="HWEndPage3"/>
      </w:pPr>
      <w:r w:rsidRPr="006147DF">
        <w:rPr>
          <w:noProof/>
          <w:lang w:eastAsia="en-GB"/>
        </w:rPr>
        <w:drawing>
          <wp:anchor distT="0" distB="0" distL="0" distR="36195" simplePos="0" relativeHeight="251658244" behindDoc="0" locked="0" layoutInCell="1" allowOverlap="1" wp14:anchorId="19DBE7FA" wp14:editId="245F1E37">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19"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20"/>
      <w:footerReference w:type="default" r:id="rId21"/>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A562" w14:textId="77777777" w:rsidR="0020605D" w:rsidRDefault="0020605D" w:rsidP="007D1518">
      <w:r>
        <w:separator/>
      </w:r>
    </w:p>
  </w:endnote>
  <w:endnote w:type="continuationSeparator" w:id="0">
    <w:p w14:paraId="0A6666B3" w14:textId="77777777" w:rsidR="0020605D" w:rsidRDefault="0020605D"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oppins">
    <w:altName w:val="Nirmala UI"/>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E93A"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3B3A" w14:textId="646A2926" w:rsidR="00A5113A" w:rsidRDefault="00EF51BA">
    <w:pPr>
      <w:pStyle w:val="Footer"/>
    </w:pPr>
    <w:r>
      <w:rPr>
        <w:noProof/>
        <w:lang w:eastAsia="en-GB"/>
      </w:rPr>
      <mc:AlternateContent>
        <mc:Choice Requires="wps">
          <w:drawing>
            <wp:anchor distT="0" distB="0" distL="114300" distR="114300" simplePos="0" relativeHeight="251658240" behindDoc="0" locked="1" layoutInCell="1" allowOverlap="1" wp14:anchorId="7F1D7F96" wp14:editId="29B4935B">
              <wp:simplePos x="0" y="0"/>
              <wp:positionH relativeFrom="page">
                <wp:posOffset>459105</wp:posOffset>
              </wp:positionH>
              <wp:positionV relativeFrom="page">
                <wp:posOffset>9955530</wp:posOffset>
              </wp:positionV>
              <wp:extent cx="6642100"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A4C80"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DC61E3">
      <w:t>Using community researchers</w:t>
    </w:r>
  </w:p>
  <w:p w14:paraId="1C7DE562" w14:textId="77777777" w:rsidR="004E3B85" w:rsidRPr="004E3B85" w:rsidRDefault="00607410"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91DD6">
      <w:rPr>
        <w:rStyle w:val="PageNumber"/>
        <w:noProof/>
      </w:rPr>
      <w:t>6</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91D2"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C395" w14:textId="77777777" w:rsidR="0020605D" w:rsidRDefault="0020605D" w:rsidP="007D1518">
      <w:r>
        <w:separator/>
      </w:r>
    </w:p>
  </w:footnote>
  <w:footnote w:type="continuationSeparator" w:id="0">
    <w:p w14:paraId="4A6877FC" w14:textId="77777777" w:rsidR="0020605D" w:rsidRDefault="0020605D" w:rsidP="007D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10A0" w14:textId="77777777" w:rsidR="00762252" w:rsidRDefault="00762252" w:rsidP="00762252">
    <w:pPr>
      <w:pStyle w:val="Header"/>
      <w:spacing w:after="484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9E94"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73C6"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C5241D"/>
    <w:multiLevelType w:val="hybridMultilevel"/>
    <w:tmpl w:val="13143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D42597"/>
    <w:multiLevelType w:val="hybridMultilevel"/>
    <w:tmpl w:val="D88C239E"/>
    <w:lvl w:ilvl="0" w:tplc="B818028A">
      <w:start w:val="1"/>
      <w:numFmt w:val="bullet"/>
      <w:pStyle w:val="HWStoryBullets"/>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1503089146">
    <w:abstractNumId w:val="11"/>
  </w:num>
  <w:num w:numId="2" w16cid:durableId="338428604">
    <w:abstractNumId w:val="9"/>
  </w:num>
  <w:num w:numId="3" w16cid:durableId="865875627">
    <w:abstractNumId w:val="7"/>
  </w:num>
  <w:num w:numId="4" w16cid:durableId="1930121055">
    <w:abstractNumId w:val="6"/>
  </w:num>
  <w:num w:numId="5" w16cid:durableId="584270005">
    <w:abstractNumId w:val="5"/>
  </w:num>
  <w:num w:numId="6" w16cid:durableId="1179734613">
    <w:abstractNumId w:val="4"/>
  </w:num>
  <w:num w:numId="7" w16cid:durableId="77139227">
    <w:abstractNumId w:val="8"/>
  </w:num>
  <w:num w:numId="8" w16cid:durableId="1199663058">
    <w:abstractNumId w:val="3"/>
  </w:num>
  <w:num w:numId="9" w16cid:durableId="894850998">
    <w:abstractNumId w:val="2"/>
  </w:num>
  <w:num w:numId="10" w16cid:durableId="61174834">
    <w:abstractNumId w:val="1"/>
  </w:num>
  <w:num w:numId="11" w16cid:durableId="936792909">
    <w:abstractNumId w:val="0"/>
  </w:num>
  <w:num w:numId="12" w16cid:durableId="913665731">
    <w:abstractNumId w:val="16"/>
  </w:num>
  <w:num w:numId="13" w16cid:durableId="1360156657">
    <w:abstractNumId w:val="14"/>
  </w:num>
  <w:num w:numId="14" w16cid:durableId="287276837">
    <w:abstractNumId w:val="10"/>
  </w:num>
  <w:num w:numId="15" w16cid:durableId="1397049755">
    <w:abstractNumId w:val="13"/>
  </w:num>
  <w:num w:numId="16" w16cid:durableId="1404986317">
    <w:abstractNumId w:val="12"/>
  </w:num>
  <w:num w:numId="17" w16cid:durableId="1637177423">
    <w:abstractNumId w:val="18"/>
  </w:num>
  <w:num w:numId="18" w16cid:durableId="1841969424">
    <w:abstractNumId w:val="15"/>
  </w:num>
  <w:num w:numId="19" w16cid:durableId="13771177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DC"/>
    <w:rsid w:val="000016AF"/>
    <w:rsid w:val="00011A07"/>
    <w:rsid w:val="00023116"/>
    <w:rsid w:val="00027589"/>
    <w:rsid w:val="00034158"/>
    <w:rsid w:val="000368F0"/>
    <w:rsid w:val="00042799"/>
    <w:rsid w:val="00056E1D"/>
    <w:rsid w:val="0006241D"/>
    <w:rsid w:val="00063D7C"/>
    <w:rsid w:val="000641DC"/>
    <w:rsid w:val="00064FF9"/>
    <w:rsid w:val="0007436A"/>
    <w:rsid w:val="00077B06"/>
    <w:rsid w:val="0008464C"/>
    <w:rsid w:val="00091BD1"/>
    <w:rsid w:val="00092015"/>
    <w:rsid w:val="000A4351"/>
    <w:rsid w:val="000B5938"/>
    <w:rsid w:val="000C6021"/>
    <w:rsid w:val="000D072F"/>
    <w:rsid w:val="000D1281"/>
    <w:rsid w:val="000D12A5"/>
    <w:rsid w:val="000D5E1C"/>
    <w:rsid w:val="000D772D"/>
    <w:rsid w:val="000E4E21"/>
    <w:rsid w:val="00100303"/>
    <w:rsid w:val="00105082"/>
    <w:rsid w:val="00110117"/>
    <w:rsid w:val="00111E53"/>
    <w:rsid w:val="00123D5C"/>
    <w:rsid w:val="001254B1"/>
    <w:rsid w:val="00125900"/>
    <w:rsid w:val="00145E8C"/>
    <w:rsid w:val="001518C5"/>
    <w:rsid w:val="00153797"/>
    <w:rsid w:val="00163642"/>
    <w:rsid w:val="00164078"/>
    <w:rsid w:val="00172A2A"/>
    <w:rsid w:val="001A0EEB"/>
    <w:rsid w:val="001B6C6E"/>
    <w:rsid w:val="001C0419"/>
    <w:rsid w:val="001C129E"/>
    <w:rsid w:val="001C4D43"/>
    <w:rsid w:val="001D6A1C"/>
    <w:rsid w:val="001E1914"/>
    <w:rsid w:val="001E1A11"/>
    <w:rsid w:val="001E1DE0"/>
    <w:rsid w:val="001F7792"/>
    <w:rsid w:val="0020605D"/>
    <w:rsid w:val="002207D0"/>
    <w:rsid w:val="00232593"/>
    <w:rsid w:val="002371FD"/>
    <w:rsid w:val="00240111"/>
    <w:rsid w:val="00241FF2"/>
    <w:rsid w:val="0024364F"/>
    <w:rsid w:val="00244DD7"/>
    <w:rsid w:val="00246A0F"/>
    <w:rsid w:val="002501B9"/>
    <w:rsid w:val="00255819"/>
    <w:rsid w:val="0029313C"/>
    <w:rsid w:val="002B124C"/>
    <w:rsid w:val="002B141C"/>
    <w:rsid w:val="002B6E13"/>
    <w:rsid w:val="002D775B"/>
    <w:rsid w:val="002E0761"/>
    <w:rsid w:val="00313417"/>
    <w:rsid w:val="00313819"/>
    <w:rsid w:val="00315FD6"/>
    <w:rsid w:val="003163F1"/>
    <w:rsid w:val="003179C6"/>
    <w:rsid w:val="003264FB"/>
    <w:rsid w:val="0033443C"/>
    <w:rsid w:val="00334EE6"/>
    <w:rsid w:val="00335A66"/>
    <w:rsid w:val="00336747"/>
    <w:rsid w:val="00336995"/>
    <w:rsid w:val="00340D2E"/>
    <w:rsid w:val="003424CC"/>
    <w:rsid w:val="00353EEA"/>
    <w:rsid w:val="00363040"/>
    <w:rsid w:val="00375858"/>
    <w:rsid w:val="003825F0"/>
    <w:rsid w:val="00391AA0"/>
    <w:rsid w:val="003A446F"/>
    <w:rsid w:val="003C7742"/>
    <w:rsid w:val="003E0876"/>
    <w:rsid w:val="003E2018"/>
    <w:rsid w:val="003F0F35"/>
    <w:rsid w:val="003F6DCB"/>
    <w:rsid w:val="00402106"/>
    <w:rsid w:val="00404850"/>
    <w:rsid w:val="004222B7"/>
    <w:rsid w:val="00430F0A"/>
    <w:rsid w:val="00434080"/>
    <w:rsid w:val="00455CE1"/>
    <w:rsid w:val="00480F34"/>
    <w:rsid w:val="00483F7D"/>
    <w:rsid w:val="00490DEF"/>
    <w:rsid w:val="004928CC"/>
    <w:rsid w:val="004A43F3"/>
    <w:rsid w:val="004A4D69"/>
    <w:rsid w:val="004A6025"/>
    <w:rsid w:val="004D2A8F"/>
    <w:rsid w:val="004D2EC8"/>
    <w:rsid w:val="004E362B"/>
    <w:rsid w:val="004E3B85"/>
    <w:rsid w:val="004F2ECE"/>
    <w:rsid w:val="005248C3"/>
    <w:rsid w:val="00541C35"/>
    <w:rsid w:val="00555E1C"/>
    <w:rsid w:val="0057205B"/>
    <w:rsid w:val="0059120E"/>
    <w:rsid w:val="0059175F"/>
    <w:rsid w:val="00597AA1"/>
    <w:rsid w:val="005E11F2"/>
    <w:rsid w:val="005E21BA"/>
    <w:rsid w:val="005E2C0C"/>
    <w:rsid w:val="005E30E0"/>
    <w:rsid w:val="00602A2C"/>
    <w:rsid w:val="006037F9"/>
    <w:rsid w:val="00607410"/>
    <w:rsid w:val="006126EB"/>
    <w:rsid w:val="006147DF"/>
    <w:rsid w:val="00623E54"/>
    <w:rsid w:val="00633D55"/>
    <w:rsid w:val="00641316"/>
    <w:rsid w:val="0064787F"/>
    <w:rsid w:val="00654C6B"/>
    <w:rsid w:val="0066070B"/>
    <w:rsid w:val="00691B86"/>
    <w:rsid w:val="00692C3D"/>
    <w:rsid w:val="00696058"/>
    <w:rsid w:val="006C3ACA"/>
    <w:rsid w:val="006C5E89"/>
    <w:rsid w:val="006D2FAE"/>
    <w:rsid w:val="006D5592"/>
    <w:rsid w:val="006E5CC4"/>
    <w:rsid w:val="006F6803"/>
    <w:rsid w:val="006F7A8E"/>
    <w:rsid w:val="0070477F"/>
    <w:rsid w:val="007217CC"/>
    <w:rsid w:val="00725DA6"/>
    <w:rsid w:val="0073192A"/>
    <w:rsid w:val="00733072"/>
    <w:rsid w:val="00740E0D"/>
    <w:rsid w:val="00741B29"/>
    <w:rsid w:val="00744DAC"/>
    <w:rsid w:val="00750D67"/>
    <w:rsid w:val="0075691B"/>
    <w:rsid w:val="00762252"/>
    <w:rsid w:val="00762C96"/>
    <w:rsid w:val="00783C98"/>
    <w:rsid w:val="0078459F"/>
    <w:rsid w:val="00786CEB"/>
    <w:rsid w:val="00794500"/>
    <w:rsid w:val="007B2041"/>
    <w:rsid w:val="007C1380"/>
    <w:rsid w:val="007C21D7"/>
    <w:rsid w:val="007D1518"/>
    <w:rsid w:val="007D4EFC"/>
    <w:rsid w:val="007D6E33"/>
    <w:rsid w:val="007D7022"/>
    <w:rsid w:val="007E2B37"/>
    <w:rsid w:val="00815EC4"/>
    <w:rsid w:val="008162F9"/>
    <w:rsid w:val="0082071A"/>
    <w:rsid w:val="00841516"/>
    <w:rsid w:val="008416D6"/>
    <w:rsid w:val="0084228B"/>
    <w:rsid w:val="008474B2"/>
    <w:rsid w:val="00851069"/>
    <w:rsid w:val="00875542"/>
    <w:rsid w:val="00877269"/>
    <w:rsid w:val="00884522"/>
    <w:rsid w:val="00887348"/>
    <w:rsid w:val="008A71B5"/>
    <w:rsid w:val="008B513F"/>
    <w:rsid w:val="008C3B84"/>
    <w:rsid w:val="008C3BC0"/>
    <w:rsid w:val="008C68A2"/>
    <w:rsid w:val="008C78F4"/>
    <w:rsid w:val="008D14DE"/>
    <w:rsid w:val="008E5204"/>
    <w:rsid w:val="0090247A"/>
    <w:rsid w:val="00921FCE"/>
    <w:rsid w:val="00923907"/>
    <w:rsid w:val="00923C0A"/>
    <w:rsid w:val="00931DA5"/>
    <w:rsid w:val="009434AF"/>
    <w:rsid w:val="00943F47"/>
    <w:rsid w:val="009501A8"/>
    <w:rsid w:val="00950B2C"/>
    <w:rsid w:val="00957ECB"/>
    <w:rsid w:val="00966A6E"/>
    <w:rsid w:val="009824B3"/>
    <w:rsid w:val="00990A77"/>
    <w:rsid w:val="00996E19"/>
    <w:rsid w:val="009D3858"/>
    <w:rsid w:val="009D4B70"/>
    <w:rsid w:val="009E27BE"/>
    <w:rsid w:val="009E43FD"/>
    <w:rsid w:val="009F3401"/>
    <w:rsid w:val="009F3ABB"/>
    <w:rsid w:val="009F48BB"/>
    <w:rsid w:val="009F57E6"/>
    <w:rsid w:val="00A048C3"/>
    <w:rsid w:val="00A15942"/>
    <w:rsid w:val="00A2138A"/>
    <w:rsid w:val="00A26E5F"/>
    <w:rsid w:val="00A27E71"/>
    <w:rsid w:val="00A3752C"/>
    <w:rsid w:val="00A5113A"/>
    <w:rsid w:val="00A834E9"/>
    <w:rsid w:val="00A93AD5"/>
    <w:rsid w:val="00A94B35"/>
    <w:rsid w:val="00A97BC5"/>
    <w:rsid w:val="00AA5359"/>
    <w:rsid w:val="00AB0BD8"/>
    <w:rsid w:val="00AC1411"/>
    <w:rsid w:val="00AD5E2D"/>
    <w:rsid w:val="00AE29CD"/>
    <w:rsid w:val="00AE2A6A"/>
    <w:rsid w:val="00AE3775"/>
    <w:rsid w:val="00AE5FE0"/>
    <w:rsid w:val="00AF0B97"/>
    <w:rsid w:val="00AF1919"/>
    <w:rsid w:val="00B05FAC"/>
    <w:rsid w:val="00B060EF"/>
    <w:rsid w:val="00B07197"/>
    <w:rsid w:val="00B14B32"/>
    <w:rsid w:val="00B23C40"/>
    <w:rsid w:val="00B25EEA"/>
    <w:rsid w:val="00B31FC3"/>
    <w:rsid w:val="00B52920"/>
    <w:rsid w:val="00B558FE"/>
    <w:rsid w:val="00B56941"/>
    <w:rsid w:val="00B63291"/>
    <w:rsid w:val="00B75C79"/>
    <w:rsid w:val="00B80CB5"/>
    <w:rsid w:val="00B843E8"/>
    <w:rsid w:val="00B91DD6"/>
    <w:rsid w:val="00B92639"/>
    <w:rsid w:val="00B92D31"/>
    <w:rsid w:val="00BB0E31"/>
    <w:rsid w:val="00BB2700"/>
    <w:rsid w:val="00BC5ACF"/>
    <w:rsid w:val="00BD0EE9"/>
    <w:rsid w:val="00BE5DD6"/>
    <w:rsid w:val="00C01EDD"/>
    <w:rsid w:val="00C029ED"/>
    <w:rsid w:val="00C171C1"/>
    <w:rsid w:val="00C23174"/>
    <w:rsid w:val="00C23E84"/>
    <w:rsid w:val="00C244AF"/>
    <w:rsid w:val="00C36385"/>
    <w:rsid w:val="00C409FC"/>
    <w:rsid w:val="00C4588F"/>
    <w:rsid w:val="00C47A72"/>
    <w:rsid w:val="00C519AB"/>
    <w:rsid w:val="00C6573A"/>
    <w:rsid w:val="00C73E04"/>
    <w:rsid w:val="00C77F3E"/>
    <w:rsid w:val="00C803C4"/>
    <w:rsid w:val="00C81DD6"/>
    <w:rsid w:val="00C964CE"/>
    <w:rsid w:val="00C96E68"/>
    <w:rsid w:val="00CA1721"/>
    <w:rsid w:val="00CA1CFA"/>
    <w:rsid w:val="00CA2859"/>
    <w:rsid w:val="00CA4156"/>
    <w:rsid w:val="00CA5246"/>
    <w:rsid w:val="00CB44CA"/>
    <w:rsid w:val="00CC18A0"/>
    <w:rsid w:val="00CC5D7B"/>
    <w:rsid w:val="00CD70F3"/>
    <w:rsid w:val="00CE798F"/>
    <w:rsid w:val="00D02234"/>
    <w:rsid w:val="00D368D5"/>
    <w:rsid w:val="00D404B4"/>
    <w:rsid w:val="00D4347C"/>
    <w:rsid w:val="00D47140"/>
    <w:rsid w:val="00D82202"/>
    <w:rsid w:val="00D82745"/>
    <w:rsid w:val="00D82C9B"/>
    <w:rsid w:val="00D845A7"/>
    <w:rsid w:val="00D90905"/>
    <w:rsid w:val="00D95CF1"/>
    <w:rsid w:val="00DA0284"/>
    <w:rsid w:val="00DB3298"/>
    <w:rsid w:val="00DB59BE"/>
    <w:rsid w:val="00DB6A25"/>
    <w:rsid w:val="00DC61E3"/>
    <w:rsid w:val="00DC7297"/>
    <w:rsid w:val="00DE0FD4"/>
    <w:rsid w:val="00E02890"/>
    <w:rsid w:val="00E05FB1"/>
    <w:rsid w:val="00E2114F"/>
    <w:rsid w:val="00E237DC"/>
    <w:rsid w:val="00E258B8"/>
    <w:rsid w:val="00E30A40"/>
    <w:rsid w:val="00E423D2"/>
    <w:rsid w:val="00E45E90"/>
    <w:rsid w:val="00E62396"/>
    <w:rsid w:val="00E77F79"/>
    <w:rsid w:val="00E87033"/>
    <w:rsid w:val="00E903EC"/>
    <w:rsid w:val="00E97B38"/>
    <w:rsid w:val="00EA6230"/>
    <w:rsid w:val="00EA6620"/>
    <w:rsid w:val="00EB676A"/>
    <w:rsid w:val="00EC102C"/>
    <w:rsid w:val="00EC3E6C"/>
    <w:rsid w:val="00EC7BBE"/>
    <w:rsid w:val="00EF51BA"/>
    <w:rsid w:val="00F00367"/>
    <w:rsid w:val="00F226D2"/>
    <w:rsid w:val="00F27E34"/>
    <w:rsid w:val="00F62FDD"/>
    <w:rsid w:val="00F85233"/>
    <w:rsid w:val="00FB1BB8"/>
    <w:rsid w:val="00FB5978"/>
    <w:rsid w:val="00FC2DE4"/>
    <w:rsid w:val="00FC56F3"/>
    <w:rsid w:val="00FE6E88"/>
    <w:rsid w:val="00FF4EE4"/>
    <w:rsid w:val="00FF64F5"/>
    <w:rsid w:val="62143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EF1AB"/>
  <w15:docId w15:val="{326FEEF2-486E-4F96-9EE6-D72E71B8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419"/>
    <w:pPr>
      <w:spacing w:line="280" w:lineRule="atLeast"/>
    </w:pPr>
    <w:rPr>
      <w:rFonts w:ascii="Poppins Light" w:hAnsi="Poppins Light" w:cs="Arial"/>
    </w:r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3EC"/>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FAD8EA"/>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qFormat/>
    <w:rsid w:val="00F00367"/>
    <w:pPr>
      <w:spacing w:after="200" w:line="280" w:lineRule="exact"/>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7"/>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5"/>
    <w:qFormat/>
    <w:rsid w:val="001E1DE0"/>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uiPriority w:val="9"/>
    <w:rsid w:val="00762252"/>
    <w:pPr>
      <w:spacing w:line="1560" w:lineRule="exact"/>
    </w:pPr>
    <w:rPr>
      <w:b/>
      <w:color w:val="FFFFFF" w:themeColor="background1"/>
      <w:sz w:val="130"/>
      <w:szCs w:val="130"/>
    </w:rPr>
  </w:style>
  <w:style w:type="paragraph" w:customStyle="1" w:styleId="HWMainTitle2">
    <w:name w:val="HW Main Title 2"/>
    <w:basedOn w:val="Normal"/>
    <w:uiPriority w:val="9"/>
    <w:rsid w:val="00762252"/>
    <w:pPr>
      <w:spacing w:line="440" w:lineRule="exact"/>
    </w:pPr>
    <w:rPr>
      <w:color w:val="FFFFFF" w:themeColor="background1"/>
      <w:sz w:val="3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uiPriority w:val="1"/>
    <w:qFormat/>
    <w:rsid w:val="00990A77"/>
    <w:pPr>
      <w:spacing w:after="480" w:line="1000" w:lineRule="exact"/>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F00367"/>
    <w:rPr>
      <w:sz w:val="30"/>
    </w:rPr>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F00367"/>
    <w:rPr>
      <w:sz w:val="24"/>
    </w:rPr>
  </w:style>
  <w:style w:type="paragraph" w:customStyle="1" w:styleId="HWStoryText">
    <w:name w:val="HW Story Text"/>
    <w:basedOn w:val="HWStoryTextQuote"/>
    <w:next w:val="HWStoryAttribution"/>
    <w:uiPriority w:val="9"/>
    <w:qFormat/>
    <w:rsid w:val="00E903EC"/>
    <w:pPr>
      <w:ind w:left="0" w:right="284"/>
    </w:p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E45E90"/>
    <w:pPr>
      <w:shd w:val="clear" w:color="auto" w:fill="FDF0D8" w:themeFill="accent3" w:themeFillTint="33"/>
      <w:ind w:left="567" w:right="567"/>
    </w:pPr>
    <w:rPr>
      <w:color w:val="5F5F5F" w:themeColor="text2" w:themeShade="80"/>
    </w:rPr>
  </w:style>
  <w:style w:type="paragraph" w:customStyle="1" w:styleId="HWBlank">
    <w:name w:val="HW Blank"/>
    <w:basedOn w:val="HWNormalText"/>
    <w:uiPriority w:val="9"/>
    <w:qFormat/>
    <w:rsid w:val="00633D55"/>
    <w:pPr>
      <w:spacing w:after="0" w:line="120" w:lineRule="exact"/>
    </w:pPr>
  </w:style>
  <w:style w:type="paragraph" w:customStyle="1" w:styleId="HWBigNumber">
    <w:name w:val="HW Big Number"/>
    <w:basedOn w:val="HWNormalText"/>
    <w:next w:val="HWNormalText"/>
    <w:uiPriority w:val="9"/>
    <w:qFormat/>
    <w:rsid w:val="00E903EC"/>
    <w:pPr>
      <w:tabs>
        <w:tab w:val="center" w:pos="6663"/>
      </w:tabs>
      <w:spacing w:before="1000" w:after="0" w:line="240" w:lineRule="auto"/>
      <w:ind w:left="-57" w:right="-57"/>
    </w:pPr>
    <w:rPr>
      <w:b/>
      <w:noProof/>
      <w:sz w:val="80"/>
      <w:lang w:eastAsia="en-GB"/>
    </w:rPr>
  </w:style>
  <w:style w:type="paragraph" w:customStyle="1" w:styleId="HWChart">
    <w:name w:val="HW Chart"/>
    <w:basedOn w:val="HWNormalText"/>
    <w:next w:val="HWNormalText"/>
    <w:uiPriority w:val="9"/>
    <w:qFormat/>
    <w:rsid w:val="00F62FDD"/>
    <w:pPr>
      <w:spacing w:line="240" w:lineRule="atLeast"/>
    </w:pPr>
    <w:rPr>
      <w:noProof/>
      <w:lang w:eastAsia="en-GB"/>
    </w:rPr>
  </w:style>
  <w:style w:type="paragraph" w:customStyle="1" w:styleId="HWEndPage1">
    <w:name w:val="HW End Page 1"/>
    <w:basedOn w:val="HWNormalText"/>
    <w:next w:val="HWEndPage2"/>
    <w:uiPriority w:val="9"/>
    <w:rsid w:val="00851069"/>
    <w:pPr>
      <w:spacing w:before="4080" w:after="0"/>
    </w:pPr>
    <w:rPr>
      <w:b/>
      <w:color w:val="FFFFFF" w:themeColor="background1"/>
    </w:rPr>
  </w:style>
  <w:style w:type="paragraph" w:customStyle="1" w:styleId="HWEndPage2">
    <w:name w:val="HW End Page 2"/>
    <w:basedOn w:val="HWNormalText"/>
    <w:uiPriority w:val="9"/>
    <w:rsid w:val="006147DF"/>
    <w:pPr>
      <w:spacing w:after="0" w:line="260" w:lineRule="exact"/>
    </w:pPr>
    <w:rPr>
      <w:b/>
      <w:color w:val="FFFFFF" w:themeColor="background1"/>
    </w:rPr>
  </w:style>
  <w:style w:type="paragraph" w:customStyle="1" w:styleId="HWEndPage3">
    <w:name w:val="HW End Page 3"/>
    <w:basedOn w:val="HWNormalText"/>
    <w:uiPriority w:val="9"/>
    <w:rsid w:val="006147DF"/>
    <w:pPr>
      <w:spacing w:after="0" w:line="260" w:lineRule="exact"/>
    </w:pPr>
    <w:rPr>
      <w:b/>
      <w:color w:val="FFFFFF" w:themeColor="background1"/>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Title">
    <w:name w:val="HW Story Title"/>
    <w:basedOn w:val="HWNormalText"/>
    <w:uiPriority w:val="9"/>
    <w:qFormat/>
    <w:rsid w:val="004D2EC8"/>
    <w:pPr>
      <w:spacing w:after="0" w:line="245" w:lineRule="auto"/>
    </w:pPr>
    <w:rPr>
      <w:b/>
      <w:color w:val="004C6B" w:themeColor="text1"/>
      <w:sz w:val="28"/>
    </w:rPr>
  </w:style>
  <w:style w:type="paragraph" w:customStyle="1" w:styleId="HWStoryTextQuote">
    <w:name w:val="HW Story Text Quote"/>
    <w:basedOn w:val="HWNormalText"/>
    <w:next w:val="HWStoryAttribution"/>
    <w:uiPriority w:val="9"/>
    <w:qFormat/>
    <w:rsid w:val="004D2EC8"/>
    <w:pPr>
      <w:spacing w:line="192" w:lineRule="auto"/>
      <w:ind w:left="1474" w:right="1701"/>
    </w:pPr>
    <w:rPr>
      <w:color w:val="004C6B" w:themeColor="text1"/>
      <w:sz w:val="28"/>
    </w:rPr>
  </w:style>
  <w:style w:type="paragraph" w:customStyle="1" w:styleId="HWStoryAttribution">
    <w:name w:val="HW Story Attribution"/>
    <w:basedOn w:val="HWNormalText"/>
    <w:uiPriority w:val="9"/>
    <w:qFormat/>
    <w:rsid w:val="004D2EC8"/>
    <w:pPr>
      <w:spacing w:after="0" w:line="288" w:lineRule="auto"/>
      <w:ind w:left="1474" w:right="1701"/>
    </w:pPr>
    <w:rPr>
      <w:b/>
      <w:color w:val="004C6B" w:themeColor="text1"/>
    </w:rPr>
  </w:style>
  <w:style w:type="paragraph" w:customStyle="1" w:styleId="HWStoryBullets">
    <w:name w:val="HW Story Bullets"/>
    <w:basedOn w:val="HWStoryTextQuote"/>
    <w:uiPriority w:val="9"/>
    <w:qFormat/>
    <w:rsid w:val="00E903EC"/>
    <w:pPr>
      <w:numPr>
        <w:numId w:val="17"/>
      </w:numPr>
      <w:spacing w:after="0" w:line="240" w:lineRule="auto"/>
      <w:ind w:left="567" w:right="567" w:hanging="567"/>
    </w:p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Green">
    <w:name w:val="HW Story (Green)"/>
    <w:basedOn w:val="HWStoryBlue"/>
    <w:uiPriority w:val="99"/>
    <w:qFormat/>
    <w:rsid w:val="00E903EC"/>
    <w:tblPr/>
    <w:tcPr>
      <w:shd w:val="clear" w:color="auto" w:fill="E7F2CC"/>
    </w:tcPr>
    <w:tblStylePr w:type="firstRow">
      <w:tblPr/>
      <w:tcPr>
        <w:tcBorders>
          <w:top w:val="nil"/>
          <w:left w:val="nil"/>
          <w:bottom w:val="single" w:sz="4" w:space="0" w:color="004C6B" w:themeColor="text1"/>
          <w:right w:val="nil"/>
          <w:insideH w:val="nil"/>
          <w:insideV w:val="nil"/>
          <w:tl2br w:val="nil"/>
          <w:tr2bl w:val="nil"/>
        </w:tcBorders>
        <w:shd w:val="clear" w:color="auto" w:fill="E7F2CC"/>
      </w:tcPr>
    </w:tblStylePr>
  </w:style>
  <w:style w:type="paragraph" w:styleId="IntenseQuote">
    <w:name w:val="Intense Quote"/>
    <w:basedOn w:val="Normal"/>
    <w:next w:val="Normal"/>
    <w:link w:val="IntenseQuoteChar"/>
    <w:uiPriority w:val="6"/>
    <w:qFormat/>
    <w:rsid w:val="00CA5246"/>
    <w:pPr>
      <w:pBdr>
        <w:top w:val="single" w:sz="4" w:space="10" w:color="E73E97" w:themeColor="accent1"/>
        <w:bottom w:val="single" w:sz="4" w:space="10" w:color="E73E97" w:themeColor="accent1"/>
      </w:pBdr>
      <w:spacing w:before="360" w:after="360"/>
      <w:ind w:left="864" w:right="864"/>
      <w:jc w:val="center"/>
    </w:pPr>
    <w:rPr>
      <w:i/>
      <w:iCs/>
      <w:color w:val="E73E97" w:themeColor="accent1"/>
    </w:rPr>
  </w:style>
  <w:style w:type="character" w:customStyle="1" w:styleId="IntenseQuoteChar">
    <w:name w:val="Intense Quote Char"/>
    <w:basedOn w:val="DefaultParagraphFont"/>
    <w:link w:val="IntenseQuote"/>
    <w:uiPriority w:val="6"/>
    <w:rsid w:val="00CA5246"/>
    <w:rPr>
      <w:rFonts w:ascii="Poppins Light" w:hAnsi="Poppins Light" w:cs="Arial"/>
      <w:i/>
      <w:iCs/>
      <w:color w:val="E73E97" w:themeColor="accent1"/>
    </w:rPr>
  </w:style>
  <w:style w:type="character" w:styleId="Strong">
    <w:name w:val="Strong"/>
    <w:basedOn w:val="DefaultParagraphFont"/>
    <w:uiPriority w:val="22"/>
    <w:qFormat/>
    <w:rsid w:val="001C0419"/>
    <w:rPr>
      <w:b/>
      <w:bCs/>
    </w:rPr>
  </w:style>
  <w:style w:type="paragraph" w:styleId="ListParagraph">
    <w:name w:val="List Paragraph"/>
    <w:basedOn w:val="Normal"/>
    <w:uiPriority w:val="34"/>
    <w:qFormat/>
    <w:rsid w:val="001C0419"/>
    <w:pPr>
      <w:ind w:left="720"/>
      <w:contextualSpacing/>
    </w:pPr>
  </w:style>
  <w:style w:type="character" w:styleId="IntenseEmphasis">
    <w:name w:val="Intense Emphasis"/>
    <w:basedOn w:val="DefaultParagraphFont"/>
    <w:uiPriority w:val="21"/>
    <w:qFormat/>
    <w:rsid w:val="001C0419"/>
    <w:rPr>
      <w:i/>
      <w:iCs/>
      <w:color w:val="E73E97" w:themeColor="accent1"/>
    </w:rPr>
  </w:style>
  <w:style w:type="paragraph" w:styleId="Quote">
    <w:name w:val="Quote"/>
    <w:basedOn w:val="Normal"/>
    <w:next w:val="Normal"/>
    <w:link w:val="QuoteChar"/>
    <w:uiPriority w:val="29"/>
    <w:qFormat/>
    <w:rsid w:val="00313417"/>
    <w:pPr>
      <w:pBdr>
        <w:top w:val="single" w:sz="12" w:space="4" w:color="F9B93E" w:themeColor="accent3"/>
        <w:left w:val="single" w:sz="36" w:space="0" w:color="FDF0D8" w:themeColor="accent3" w:themeTint="33"/>
        <w:bottom w:val="single" w:sz="18" w:space="1" w:color="FDF0D8" w:themeColor="accent3" w:themeTint="33"/>
        <w:right w:val="single" w:sz="18" w:space="4" w:color="FDF0D8" w:themeColor="accent3" w:themeTint="33"/>
      </w:pBdr>
      <w:shd w:val="clear" w:color="auto" w:fill="FDF0D8" w:themeFill="accent3" w:themeFillTint="33"/>
      <w:spacing w:before="360" w:line="240" w:lineRule="auto"/>
    </w:pPr>
    <w:rPr>
      <w:rFonts w:asciiTheme="minorHAnsi" w:hAnsiTheme="minorHAnsi" w:cstheme="minorBidi"/>
      <w:color w:val="004C6B" w:themeColor="text1"/>
      <w:sz w:val="28"/>
      <w:szCs w:val="28"/>
    </w:rPr>
  </w:style>
  <w:style w:type="character" w:customStyle="1" w:styleId="QuoteChar">
    <w:name w:val="Quote Char"/>
    <w:basedOn w:val="DefaultParagraphFont"/>
    <w:link w:val="Quote"/>
    <w:uiPriority w:val="29"/>
    <w:rsid w:val="00313417"/>
    <w:rPr>
      <w:rFonts w:asciiTheme="minorHAnsi" w:hAnsiTheme="minorHAnsi" w:cstheme="minorBidi"/>
      <w:color w:val="004C6B" w:themeColor="text1"/>
      <w:sz w:val="28"/>
      <w:szCs w:val="28"/>
      <w:shd w:val="clear" w:color="auto" w:fill="FDF0D8" w:themeFill="accent3" w:themeFillTint="33"/>
    </w:rPr>
  </w:style>
  <w:style w:type="character" w:styleId="Emphasis">
    <w:name w:val="Emphasis"/>
    <w:basedOn w:val="DefaultParagraphFont"/>
    <w:uiPriority w:val="20"/>
    <w:qFormat/>
    <w:rsid w:val="00455CE1"/>
    <w:rPr>
      <w:i/>
      <w:iCs/>
    </w:rPr>
  </w:style>
  <w:style w:type="paragraph" w:styleId="Title">
    <w:name w:val="Title"/>
    <w:basedOn w:val="Normal"/>
    <w:next w:val="Normal"/>
    <w:link w:val="TitleChar"/>
    <w:uiPriority w:val="10"/>
    <w:qFormat/>
    <w:rsid w:val="00455CE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CE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97BC5"/>
    <w:rPr>
      <w:color w:val="A81563" w:themeColor="hyperlink"/>
      <w:u w:val="single"/>
    </w:rPr>
  </w:style>
  <w:style w:type="character" w:styleId="UnresolvedMention">
    <w:name w:val="Unresolved Mention"/>
    <w:basedOn w:val="DefaultParagraphFont"/>
    <w:uiPriority w:val="99"/>
    <w:semiHidden/>
    <w:unhideWhenUsed/>
    <w:rsid w:val="000D1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watch?v=dWrLPS2Ubl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ardW\OneDrive%20-%20Care%20Quality%20Commission\Downloads\20220227%20-%20Healthwatch%20Briefing%20Report%20Template%20(Blue%20Cover)%20(2022)%20(7).dotx"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C1339D6737648A8C86C1C80D7AA4E" ma:contentTypeVersion="17" ma:contentTypeDescription="Create a new document." ma:contentTypeScope="" ma:versionID="efa01af2129ee7b46475dd4b27054900">
  <xsd:schema xmlns:xsd="http://www.w3.org/2001/XMLSchema" xmlns:xs="http://www.w3.org/2001/XMLSchema" xmlns:p="http://schemas.microsoft.com/office/2006/metadata/properties" xmlns:ns2="19ba204a-7cec-4086-a9b5-f26e8fa56635" xmlns:ns3="6ce766b5-4c61-445e-8acf-a0272427aa83" targetNamespace="http://schemas.microsoft.com/office/2006/metadata/properties" ma:root="true" ma:fieldsID="9d91721a68f4ddf4f21cd9c5f4927a4c" ns2:_="" ns3:_="">
    <xsd:import namespace="19ba204a-7cec-4086-a9b5-f26e8fa56635"/>
    <xsd:import namespace="6ce766b5-4c61-445e-8acf-a0272427a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204a-7cec-4086-a9b5-f26e8fa56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766b5-4c61-445e-8acf-a0272427aa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a3ef7d-728c-41c2-8a76-9275bcb17bcc}" ma:internalName="TaxCatchAll" ma:showField="CatchAllData" ma:web="6ce766b5-4c61-445e-8acf-a0272427a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ba204a-7cec-4086-a9b5-f26e8fa56635">
      <Terms xmlns="http://schemas.microsoft.com/office/infopath/2007/PartnerControls"/>
    </lcf76f155ced4ddcb4097134ff3c332f>
    <TaxCatchAll xmlns="6ce766b5-4c61-445e-8acf-a0272427aa83" xsi:nil="true"/>
    <SharedWithUsers xmlns="6ce766b5-4c61-445e-8acf-a0272427aa83">
      <UserInfo>
        <DisplayName>Goodall, Hannah</DisplayName>
        <AccountId>1786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73CC1-3EA7-4177-AB18-23052E13E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204a-7cec-4086-a9b5-f26e8fa56635"/>
    <ds:schemaRef ds:uri="6ce766b5-4c61-445e-8acf-a0272427a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89DF3-72EF-4420-8964-AC8521039162}">
  <ds:schemaRefs>
    <ds:schemaRef ds:uri="http://schemas.openxmlformats.org/officeDocument/2006/bibliography"/>
  </ds:schemaRefs>
</ds:datastoreItem>
</file>

<file path=customXml/itemProps3.xml><?xml version="1.0" encoding="utf-8"?>
<ds:datastoreItem xmlns:ds="http://schemas.openxmlformats.org/officeDocument/2006/customXml" ds:itemID="{A4FB61F0-E789-420D-A323-29B968172D4A}">
  <ds:schemaRefs>
    <ds:schemaRef ds:uri="19ba204a-7cec-4086-a9b5-f26e8fa5663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6ce766b5-4c61-445e-8acf-a0272427aa83"/>
    <ds:schemaRef ds:uri="http://www.w3.org/XML/1998/namespace"/>
    <ds:schemaRef ds:uri="http://purl.org/dc/elements/1.1/"/>
  </ds:schemaRefs>
</ds:datastoreItem>
</file>

<file path=customXml/itemProps4.xml><?xml version="1.0" encoding="utf-8"?>
<ds:datastoreItem xmlns:ds="http://schemas.openxmlformats.org/officeDocument/2006/customXml" ds:itemID="{8C93E512-C889-4C2F-9FA5-347BCC2BA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20220227 - Healthwatch Briefing Report Template (Blue Cover) (2022) (7)</Template>
  <TotalTime>26</TotalTime>
  <Pages>11</Pages>
  <Words>1918</Words>
  <Characters>10918</Characters>
  <Application>Microsoft Office Word</Application>
  <DocSecurity>0</DocSecurity>
  <Lines>272</Lines>
  <Paragraphs>171</Paragraphs>
  <ScaleCrop>false</ScaleCrop>
  <Company>Healthwatch</Company>
  <LinksUpToDate>false</LinksUpToDate>
  <CharactersWithSpaces>12665</CharactersWithSpaces>
  <SharedDoc>false</SharedDoc>
  <HLinks>
    <vt:vector size="36" baseType="variant">
      <vt:variant>
        <vt:i4>3014777</vt:i4>
      </vt:variant>
      <vt:variant>
        <vt:i4>33</vt:i4>
      </vt:variant>
      <vt:variant>
        <vt:i4>0</vt:i4>
      </vt:variant>
      <vt:variant>
        <vt:i4>5</vt:i4>
      </vt:variant>
      <vt:variant>
        <vt:lpwstr>https://www.youtube.com/watch?v=dWrLPS2Ublg</vt:lpwstr>
      </vt:variant>
      <vt:variant>
        <vt:lpwstr/>
      </vt:variant>
      <vt:variant>
        <vt:i4>1441851</vt:i4>
      </vt:variant>
      <vt:variant>
        <vt:i4>26</vt:i4>
      </vt:variant>
      <vt:variant>
        <vt:i4>0</vt:i4>
      </vt:variant>
      <vt:variant>
        <vt:i4>5</vt:i4>
      </vt:variant>
      <vt:variant>
        <vt:lpwstr/>
      </vt:variant>
      <vt:variant>
        <vt:lpwstr>_Toc190424881</vt:lpwstr>
      </vt:variant>
      <vt:variant>
        <vt:i4>1441851</vt:i4>
      </vt:variant>
      <vt:variant>
        <vt:i4>20</vt:i4>
      </vt:variant>
      <vt:variant>
        <vt:i4>0</vt:i4>
      </vt:variant>
      <vt:variant>
        <vt:i4>5</vt:i4>
      </vt:variant>
      <vt:variant>
        <vt:lpwstr/>
      </vt:variant>
      <vt:variant>
        <vt:lpwstr>_Toc190424880</vt:lpwstr>
      </vt:variant>
      <vt:variant>
        <vt:i4>1638459</vt:i4>
      </vt:variant>
      <vt:variant>
        <vt:i4>14</vt:i4>
      </vt:variant>
      <vt:variant>
        <vt:i4>0</vt:i4>
      </vt:variant>
      <vt:variant>
        <vt:i4>5</vt:i4>
      </vt:variant>
      <vt:variant>
        <vt:lpwstr/>
      </vt:variant>
      <vt:variant>
        <vt:lpwstr>_Toc190424879</vt:lpwstr>
      </vt:variant>
      <vt:variant>
        <vt:i4>1638459</vt:i4>
      </vt:variant>
      <vt:variant>
        <vt:i4>8</vt:i4>
      </vt:variant>
      <vt:variant>
        <vt:i4>0</vt:i4>
      </vt:variant>
      <vt:variant>
        <vt:i4>5</vt:i4>
      </vt:variant>
      <vt:variant>
        <vt:lpwstr/>
      </vt:variant>
      <vt:variant>
        <vt:lpwstr>_Toc190424878</vt:lpwstr>
      </vt:variant>
      <vt:variant>
        <vt:i4>1638459</vt:i4>
      </vt:variant>
      <vt:variant>
        <vt:i4>2</vt:i4>
      </vt:variant>
      <vt:variant>
        <vt:i4>0</vt:i4>
      </vt:variant>
      <vt:variant>
        <vt:i4>5</vt:i4>
      </vt:variant>
      <vt:variant>
        <vt:lpwstr/>
      </vt:variant>
      <vt:variant>
        <vt:lpwstr>_Toc190424877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dc:title>
  <dc:creator>Howard, Will</dc:creator>
  <cp:keywords>Report</cp:keywords>
  <dc:description>v2.24 by Kessler Associates</dc:description>
  <cp:lastModifiedBy>Chris Gorman</cp:lastModifiedBy>
  <cp:revision>2</cp:revision>
  <dcterms:created xsi:type="dcterms:W3CDTF">2026-01-16T12:25:00Z</dcterms:created>
  <dcterms:modified xsi:type="dcterms:W3CDTF">2026-01-16T12:25:00Z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0x010100AA7C1339D6737648A8C86C1C80D7AA4E</vt:lpwstr>
  </property>
  <property fmtid="{D5CDD505-2E9C-101B-9397-08002B2CF9AE}" pid="8" name="MediaServiceImageTags">
    <vt:lpwstr/>
  </property>
</Properties>
</file>