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E326A" w14:textId="26E9B867" w:rsidR="00DD385D" w:rsidRPr="00D549E1" w:rsidRDefault="00DD385D" w:rsidP="00DD385D">
      <w:pPr>
        <w:jc w:val="center"/>
        <w:rPr>
          <w:rFonts w:ascii="Trebuchet MS" w:hAnsi="Trebuchet MS"/>
          <w:b/>
          <w:bCs/>
          <w:sz w:val="28"/>
          <w:szCs w:val="28"/>
        </w:rPr>
      </w:pPr>
      <w:r w:rsidRPr="00D549E1">
        <w:rPr>
          <w:rFonts w:ascii="Trebuchet MS" w:hAnsi="Trebuchet MS"/>
          <w:b/>
          <w:bCs/>
          <w:sz w:val="28"/>
          <w:szCs w:val="28"/>
        </w:rPr>
        <w:t xml:space="preserve">Commissioning an </w:t>
      </w:r>
      <w:r w:rsidR="008557D1">
        <w:rPr>
          <w:rFonts w:ascii="Trebuchet MS" w:hAnsi="Trebuchet MS"/>
          <w:b/>
          <w:bCs/>
          <w:sz w:val="28"/>
          <w:szCs w:val="28"/>
        </w:rPr>
        <w:t>e</w:t>
      </w:r>
      <w:r w:rsidRPr="00D549E1">
        <w:rPr>
          <w:rFonts w:ascii="Trebuchet MS" w:hAnsi="Trebuchet MS"/>
          <w:b/>
          <w:bCs/>
          <w:sz w:val="28"/>
          <w:szCs w:val="28"/>
        </w:rPr>
        <w:t xml:space="preserve">ffective </w:t>
      </w:r>
      <w:r w:rsidR="008557D1">
        <w:rPr>
          <w:rFonts w:ascii="Trebuchet MS" w:hAnsi="Trebuchet MS"/>
          <w:b/>
          <w:bCs/>
          <w:sz w:val="28"/>
          <w:szCs w:val="28"/>
        </w:rPr>
        <w:t>l</w:t>
      </w:r>
      <w:r w:rsidRPr="00D549E1">
        <w:rPr>
          <w:rFonts w:ascii="Trebuchet MS" w:hAnsi="Trebuchet MS"/>
          <w:b/>
          <w:bCs/>
          <w:sz w:val="28"/>
          <w:szCs w:val="28"/>
        </w:rPr>
        <w:t xml:space="preserve">ocal Healthwatch </w:t>
      </w:r>
    </w:p>
    <w:p w14:paraId="0700C109" w14:textId="4FCBCBF9" w:rsidR="00DD385D" w:rsidRPr="00D549E1" w:rsidRDefault="00D549E1" w:rsidP="00DD385D">
      <w:pPr>
        <w:jc w:val="center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Healthwatch England </w:t>
      </w:r>
      <w:r w:rsidR="008557D1">
        <w:rPr>
          <w:rFonts w:ascii="Trebuchet MS" w:hAnsi="Trebuchet MS"/>
          <w:b/>
          <w:bCs/>
          <w:sz w:val="24"/>
          <w:szCs w:val="24"/>
        </w:rPr>
        <w:t>r</w:t>
      </w:r>
      <w:r w:rsidR="00DD385D" w:rsidRPr="00D549E1">
        <w:rPr>
          <w:rFonts w:ascii="Trebuchet MS" w:hAnsi="Trebuchet MS"/>
          <w:b/>
          <w:bCs/>
          <w:sz w:val="24"/>
          <w:szCs w:val="24"/>
        </w:rPr>
        <w:t xml:space="preserve">egional </w:t>
      </w:r>
      <w:r w:rsidR="008557D1">
        <w:rPr>
          <w:rFonts w:ascii="Trebuchet MS" w:hAnsi="Trebuchet MS"/>
          <w:b/>
          <w:bCs/>
          <w:sz w:val="24"/>
          <w:szCs w:val="24"/>
        </w:rPr>
        <w:t>m</w:t>
      </w:r>
      <w:r w:rsidR="00DD385D" w:rsidRPr="00D549E1">
        <w:rPr>
          <w:rFonts w:ascii="Trebuchet MS" w:hAnsi="Trebuchet MS"/>
          <w:b/>
          <w:bCs/>
          <w:sz w:val="24"/>
          <w:szCs w:val="24"/>
        </w:rPr>
        <w:t xml:space="preserve">anager </w:t>
      </w:r>
      <w:r w:rsidR="008557D1">
        <w:rPr>
          <w:rFonts w:ascii="Trebuchet MS" w:hAnsi="Trebuchet MS"/>
          <w:b/>
          <w:bCs/>
          <w:sz w:val="24"/>
          <w:szCs w:val="24"/>
        </w:rPr>
        <w:t>f</w:t>
      </w:r>
      <w:r w:rsidR="00DD385D" w:rsidRPr="00D549E1">
        <w:rPr>
          <w:rFonts w:ascii="Trebuchet MS" w:hAnsi="Trebuchet MS"/>
          <w:b/>
          <w:bCs/>
          <w:sz w:val="24"/>
          <w:szCs w:val="24"/>
        </w:rPr>
        <w:t xml:space="preserve">eedback </w:t>
      </w:r>
      <w:r w:rsidR="008557D1">
        <w:rPr>
          <w:rFonts w:ascii="Trebuchet MS" w:hAnsi="Trebuchet MS"/>
          <w:b/>
          <w:bCs/>
          <w:sz w:val="24"/>
          <w:szCs w:val="24"/>
        </w:rPr>
        <w:t>f</w:t>
      </w:r>
      <w:r w:rsidR="00DD385D" w:rsidRPr="00D549E1">
        <w:rPr>
          <w:rFonts w:ascii="Trebuchet MS" w:hAnsi="Trebuchet MS"/>
          <w:b/>
          <w:bCs/>
          <w:sz w:val="24"/>
          <w:szCs w:val="24"/>
        </w:rPr>
        <w:t>orm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00"/>
        <w:gridCol w:w="3632"/>
        <w:gridCol w:w="1985"/>
        <w:gridCol w:w="4733"/>
      </w:tblGrid>
      <w:tr w:rsidR="00DD385D" w:rsidRPr="00D549E1" w14:paraId="54EA69FE" w14:textId="77777777" w:rsidTr="00A1717A">
        <w:tc>
          <w:tcPr>
            <w:tcW w:w="2600" w:type="dxa"/>
            <w:shd w:val="clear" w:color="auto" w:fill="4472C4" w:themeFill="accent1"/>
          </w:tcPr>
          <w:p w14:paraId="42FA3669" w14:textId="77777777" w:rsidR="00DD385D" w:rsidRPr="00D549E1" w:rsidRDefault="00DD385D" w:rsidP="00DD385D">
            <w:pPr>
              <w:spacing w:before="100" w:after="100"/>
              <w:rPr>
                <w:b/>
                <w:color w:val="E7E6E6" w:themeColor="background2"/>
                <w:sz w:val="24"/>
                <w:szCs w:val="24"/>
              </w:rPr>
            </w:pPr>
            <w:r w:rsidRPr="00D549E1">
              <w:rPr>
                <w:b/>
                <w:color w:val="E7E6E6" w:themeColor="background2"/>
                <w:sz w:val="24"/>
                <w:szCs w:val="24"/>
              </w:rPr>
              <w:t>Date</w:t>
            </w:r>
          </w:p>
        </w:tc>
        <w:tc>
          <w:tcPr>
            <w:tcW w:w="3632" w:type="dxa"/>
            <w:shd w:val="clear" w:color="auto" w:fill="4472C4" w:themeFill="accent1"/>
          </w:tcPr>
          <w:p w14:paraId="14062035" w14:textId="43F7A83D" w:rsidR="00DD385D" w:rsidRPr="00D549E1" w:rsidRDefault="00DD385D" w:rsidP="00DD385D">
            <w:pPr>
              <w:spacing w:before="100" w:after="100"/>
              <w:rPr>
                <w:b/>
                <w:color w:val="E7E6E6" w:themeColor="background2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4472C4" w:themeFill="accent1"/>
          </w:tcPr>
          <w:p w14:paraId="4A0E3E5C" w14:textId="1E81E9BF" w:rsidR="00DD385D" w:rsidRPr="00D549E1" w:rsidRDefault="00DD385D" w:rsidP="00DD385D">
            <w:pPr>
              <w:spacing w:before="100" w:after="100"/>
              <w:rPr>
                <w:b/>
                <w:color w:val="E7E6E6" w:themeColor="background2"/>
                <w:sz w:val="24"/>
                <w:szCs w:val="24"/>
              </w:rPr>
            </w:pPr>
            <w:r w:rsidRPr="00D549E1">
              <w:rPr>
                <w:b/>
                <w:color w:val="E7E6E6" w:themeColor="background2"/>
                <w:sz w:val="24"/>
                <w:szCs w:val="24"/>
              </w:rPr>
              <w:t xml:space="preserve">Regional </w:t>
            </w:r>
            <w:r w:rsidR="008557D1">
              <w:rPr>
                <w:b/>
                <w:color w:val="E7E6E6" w:themeColor="background2"/>
                <w:sz w:val="24"/>
                <w:szCs w:val="24"/>
              </w:rPr>
              <w:t>m</w:t>
            </w:r>
            <w:r w:rsidRPr="00D549E1">
              <w:rPr>
                <w:b/>
                <w:color w:val="E7E6E6" w:themeColor="background2"/>
                <w:sz w:val="24"/>
                <w:szCs w:val="24"/>
              </w:rPr>
              <w:t>anager</w:t>
            </w:r>
          </w:p>
        </w:tc>
        <w:tc>
          <w:tcPr>
            <w:tcW w:w="4733" w:type="dxa"/>
            <w:shd w:val="clear" w:color="auto" w:fill="4472C4" w:themeFill="accent1"/>
          </w:tcPr>
          <w:p w14:paraId="1F7B369A" w14:textId="164602CF" w:rsidR="00DD385D" w:rsidRPr="00D549E1" w:rsidRDefault="00DD385D" w:rsidP="00DD385D">
            <w:pPr>
              <w:spacing w:before="100" w:after="100"/>
              <w:rPr>
                <w:b/>
                <w:color w:val="E7E6E6" w:themeColor="background2"/>
                <w:sz w:val="24"/>
                <w:szCs w:val="24"/>
              </w:rPr>
            </w:pPr>
          </w:p>
        </w:tc>
      </w:tr>
      <w:tr w:rsidR="00DD385D" w:rsidRPr="00D549E1" w14:paraId="0F30B315" w14:textId="77777777" w:rsidTr="00A1717A">
        <w:tc>
          <w:tcPr>
            <w:tcW w:w="2600" w:type="dxa"/>
            <w:shd w:val="clear" w:color="auto" w:fill="4472C4" w:themeFill="accent1"/>
          </w:tcPr>
          <w:p w14:paraId="3FF10A05" w14:textId="4F226DCD" w:rsidR="00DD385D" w:rsidRPr="00D549E1" w:rsidRDefault="00DD385D" w:rsidP="00DD385D">
            <w:pPr>
              <w:spacing w:before="100" w:after="100"/>
              <w:rPr>
                <w:b/>
                <w:color w:val="E7E6E6" w:themeColor="background2"/>
                <w:sz w:val="24"/>
                <w:szCs w:val="24"/>
              </w:rPr>
            </w:pPr>
            <w:r w:rsidRPr="00D549E1">
              <w:rPr>
                <w:b/>
                <w:color w:val="E7E6E6" w:themeColor="background2"/>
                <w:sz w:val="24"/>
                <w:szCs w:val="24"/>
              </w:rPr>
              <w:t xml:space="preserve">Local </w:t>
            </w:r>
            <w:r w:rsidR="008557D1">
              <w:rPr>
                <w:b/>
                <w:color w:val="E7E6E6" w:themeColor="background2"/>
                <w:sz w:val="24"/>
                <w:szCs w:val="24"/>
              </w:rPr>
              <w:t>a</w:t>
            </w:r>
            <w:r w:rsidRPr="00D549E1">
              <w:rPr>
                <w:b/>
                <w:color w:val="E7E6E6" w:themeColor="background2"/>
                <w:sz w:val="24"/>
                <w:szCs w:val="24"/>
              </w:rPr>
              <w:t>uthority</w:t>
            </w:r>
          </w:p>
        </w:tc>
        <w:tc>
          <w:tcPr>
            <w:tcW w:w="10350" w:type="dxa"/>
            <w:gridSpan w:val="3"/>
            <w:shd w:val="clear" w:color="auto" w:fill="4472C4" w:themeFill="accent1"/>
          </w:tcPr>
          <w:p w14:paraId="1D1A2601" w14:textId="4F4DC2D0" w:rsidR="00DD385D" w:rsidRPr="00D549E1" w:rsidRDefault="00DD385D" w:rsidP="00DD385D">
            <w:pPr>
              <w:spacing w:before="100" w:after="100"/>
              <w:rPr>
                <w:b/>
                <w:color w:val="E7E6E6" w:themeColor="background2"/>
                <w:sz w:val="24"/>
                <w:szCs w:val="24"/>
              </w:rPr>
            </w:pPr>
          </w:p>
        </w:tc>
      </w:tr>
      <w:tr w:rsidR="00DD385D" w:rsidRPr="00D549E1" w14:paraId="3FB66F17" w14:textId="77777777" w:rsidTr="00A1717A">
        <w:tc>
          <w:tcPr>
            <w:tcW w:w="2600" w:type="dxa"/>
            <w:shd w:val="clear" w:color="auto" w:fill="4472C4" w:themeFill="accent1"/>
          </w:tcPr>
          <w:p w14:paraId="5A52E161" w14:textId="77777777" w:rsidR="00DD385D" w:rsidRPr="00D549E1" w:rsidRDefault="00DD385D" w:rsidP="00DD385D">
            <w:pPr>
              <w:spacing w:before="100" w:after="100"/>
              <w:rPr>
                <w:b/>
                <w:color w:val="E7E6E6" w:themeColor="background2"/>
                <w:sz w:val="24"/>
                <w:szCs w:val="24"/>
              </w:rPr>
            </w:pPr>
            <w:r w:rsidRPr="00D549E1">
              <w:rPr>
                <w:b/>
                <w:color w:val="E7E6E6" w:themeColor="background2"/>
                <w:sz w:val="24"/>
                <w:szCs w:val="24"/>
              </w:rPr>
              <w:t>Aspect of Healthwatch provision</w:t>
            </w:r>
          </w:p>
        </w:tc>
        <w:tc>
          <w:tcPr>
            <w:tcW w:w="3632" w:type="dxa"/>
            <w:shd w:val="clear" w:color="auto" w:fill="4472C4" w:themeFill="accent1"/>
          </w:tcPr>
          <w:p w14:paraId="389D1B48" w14:textId="77777777" w:rsidR="00DD385D" w:rsidRPr="00D549E1" w:rsidRDefault="00DD385D" w:rsidP="00DD385D">
            <w:pPr>
              <w:spacing w:before="100" w:after="100"/>
              <w:rPr>
                <w:b/>
                <w:color w:val="E7E6E6" w:themeColor="background2"/>
                <w:sz w:val="24"/>
                <w:szCs w:val="24"/>
              </w:rPr>
            </w:pPr>
            <w:r w:rsidRPr="00D549E1">
              <w:rPr>
                <w:b/>
                <w:color w:val="E7E6E6" w:themeColor="background2"/>
                <w:sz w:val="24"/>
                <w:szCs w:val="24"/>
              </w:rPr>
              <w:t xml:space="preserve">Checklist </w:t>
            </w:r>
          </w:p>
        </w:tc>
        <w:tc>
          <w:tcPr>
            <w:tcW w:w="1985" w:type="dxa"/>
            <w:shd w:val="clear" w:color="auto" w:fill="4472C4" w:themeFill="accent1"/>
          </w:tcPr>
          <w:p w14:paraId="7E2C7936" w14:textId="77777777" w:rsidR="00DD385D" w:rsidRPr="00D549E1" w:rsidRDefault="00DD385D" w:rsidP="00DD385D">
            <w:pPr>
              <w:spacing w:before="100" w:after="100"/>
              <w:rPr>
                <w:b/>
                <w:color w:val="E7E6E6" w:themeColor="background2"/>
                <w:sz w:val="24"/>
                <w:szCs w:val="24"/>
              </w:rPr>
            </w:pPr>
            <w:r w:rsidRPr="00D549E1">
              <w:rPr>
                <w:b/>
                <w:color w:val="E7E6E6" w:themeColor="background2"/>
                <w:sz w:val="24"/>
                <w:szCs w:val="24"/>
              </w:rPr>
              <w:t>Included?</w:t>
            </w:r>
          </w:p>
        </w:tc>
        <w:tc>
          <w:tcPr>
            <w:tcW w:w="4733" w:type="dxa"/>
            <w:shd w:val="clear" w:color="auto" w:fill="4472C4" w:themeFill="accent1"/>
          </w:tcPr>
          <w:p w14:paraId="0B330794" w14:textId="77777777" w:rsidR="00DD385D" w:rsidRPr="00D549E1" w:rsidRDefault="00DD385D" w:rsidP="00DD385D">
            <w:pPr>
              <w:spacing w:before="100" w:after="100"/>
              <w:rPr>
                <w:b/>
                <w:color w:val="E7E6E6" w:themeColor="background2"/>
                <w:sz w:val="24"/>
                <w:szCs w:val="24"/>
              </w:rPr>
            </w:pPr>
            <w:r w:rsidRPr="00D549E1">
              <w:rPr>
                <w:b/>
                <w:color w:val="E7E6E6" w:themeColor="background2"/>
                <w:sz w:val="24"/>
                <w:szCs w:val="24"/>
              </w:rPr>
              <w:t>Comments / suggested amends</w:t>
            </w:r>
          </w:p>
        </w:tc>
      </w:tr>
      <w:tr w:rsidR="00DD385D" w:rsidRPr="00D549E1" w14:paraId="7C6F9755" w14:textId="77777777" w:rsidTr="00A1717A">
        <w:tc>
          <w:tcPr>
            <w:tcW w:w="6232" w:type="dxa"/>
            <w:gridSpan w:val="2"/>
            <w:shd w:val="clear" w:color="auto" w:fill="DEEAF6" w:themeFill="accent5" w:themeFillTint="33"/>
          </w:tcPr>
          <w:p w14:paraId="54D09348" w14:textId="77777777" w:rsidR="00DD385D" w:rsidRPr="00D549E1" w:rsidRDefault="00DD385D" w:rsidP="00DD385D">
            <w:pPr>
              <w:spacing w:before="100" w:after="100"/>
              <w:rPr>
                <w:b/>
                <w:sz w:val="24"/>
                <w:szCs w:val="24"/>
              </w:rPr>
            </w:pPr>
            <w:r w:rsidRPr="00D549E1">
              <w:rPr>
                <w:b/>
                <w:sz w:val="24"/>
                <w:szCs w:val="24"/>
              </w:rPr>
              <w:t>Set up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60AF0766" w14:textId="77777777" w:rsidR="00DD385D" w:rsidRPr="00D549E1" w:rsidRDefault="00DD385D" w:rsidP="00DD385D">
            <w:pPr>
              <w:spacing w:before="100" w:after="100"/>
              <w:rPr>
                <w:b/>
                <w:sz w:val="24"/>
                <w:szCs w:val="24"/>
              </w:rPr>
            </w:pPr>
          </w:p>
        </w:tc>
        <w:tc>
          <w:tcPr>
            <w:tcW w:w="4733" w:type="dxa"/>
            <w:shd w:val="clear" w:color="auto" w:fill="DEEAF6" w:themeFill="accent5" w:themeFillTint="33"/>
          </w:tcPr>
          <w:p w14:paraId="35BBB084" w14:textId="77777777" w:rsidR="00DD385D" w:rsidRPr="00D549E1" w:rsidRDefault="00DD385D" w:rsidP="00DD385D">
            <w:pPr>
              <w:spacing w:before="100" w:after="100"/>
              <w:rPr>
                <w:b/>
                <w:sz w:val="24"/>
                <w:szCs w:val="24"/>
              </w:rPr>
            </w:pPr>
          </w:p>
        </w:tc>
      </w:tr>
      <w:tr w:rsidR="00DD385D" w:rsidRPr="00D549E1" w14:paraId="5BAB27FA" w14:textId="77777777" w:rsidTr="00A1717A">
        <w:tc>
          <w:tcPr>
            <w:tcW w:w="2600" w:type="dxa"/>
            <w:shd w:val="clear" w:color="auto" w:fill="BDD6EE" w:themeFill="accent5" w:themeFillTint="66"/>
          </w:tcPr>
          <w:p w14:paraId="600DA0D9" w14:textId="3DB2C6FF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>Contracting with a social enterprise</w:t>
            </w:r>
          </w:p>
        </w:tc>
        <w:tc>
          <w:tcPr>
            <w:tcW w:w="3632" w:type="dxa"/>
            <w:shd w:val="clear" w:color="auto" w:fill="BDD6EE" w:themeFill="accent5" w:themeFillTint="66"/>
          </w:tcPr>
          <w:p w14:paraId="7C2B2AA7" w14:textId="449BDE95" w:rsidR="00D26DD4" w:rsidRPr="00D549E1" w:rsidRDefault="00D26DD4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 xml:space="preserve">Service specification </w:t>
            </w:r>
            <w:r w:rsidR="004620A5" w:rsidRPr="00D549E1">
              <w:rPr>
                <w:sz w:val="24"/>
                <w:szCs w:val="24"/>
              </w:rPr>
              <w:t xml:space="preserve">should </w:t>
            </w:r>
            <w:r w:rsidRPr="00D549E1">
              <w:rPr>
                <w:sz w:val="24"/>
                <w:szCs w:val="24"/>
              </w:rPr>
              <w:t>set out the requirement for the local authority to contract with a social enterprise.</w:t>
            </w:r>
          </w:p>
          <w:p w14:paraId="05E0802C" w14:textId="4CEE6D40" w:rsidR="00DD385D" w:rsidRPr="00D549E1" w:rsidRDefault="00D26DD4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>This will be s</w:t>
            </w:r>
            <w:r w:rsidR="00DD385D" w:rsidRPr="00D549E1">
              <w:rPr>
                <w:sz w:val="24"/>
                <w:szCs w:val="24"/>
              </w:rPr>
              <w:t>et out in governing document</w:t>
            </w:r>
            <w:r w:rsidRPr="00D549E1">
              <w:rPr>
                <w:sz w:val="24"/>
                <w:szCs w:val="24"/>
              </w:rPr>
              <w:t>s</w:t>
            </w:r>
            <w:r w:rsidR="00DD385D" w:rsidRPr="00D549E1">
              <w:rPr>
                <w:sz w:val="24"/>
                <w:szCs w:val="24"/>
              </w:rPr>
              <w:t xml:space="preserve"> (</w:t>
            </w:r>
            <w:r w:rsidR="00FA42D3">
              <w:rPr>
                <w:sz w:val="24"/>
                <w:szCs w:val="24"/>
              </w:rPr>
              <w:t>m</w:t>
            </w:r>
            <w:r w:rsidR="00DD385D" w:rsidRPr="00D549E1">
              <w:rPr>
                <w:sz w:val="24"/>
                <w:szCs w:val="24"/>
              </w:rPr>
              <w:t xml:space="preserve">emorandum and </w:t>
            </w:r>
            <w:r w:rsidR="00FA42D3">
              <w:rPr>
                <w:sz w:val="24"/>
                <w:szCs w:val="24"/>
              </w:rPr>
              <w:t>a</w:t>
            </w:r>
            <w:r w:rsidR="00DD385D" w:rsidRPr="00D549E1">
              <w:rPr>
                <w:sz w:val="24"/>
                <w:szCs w:val="24"/>
              </w:rPr>
              <w:t>rticles; constitution). Most Healthwatch providers are companies limited by guarantee with charitable status</w:t>
            </w:r>
            <w:r w:rsidR="00256103" w:rsidRPr="00D549E1">
              <w:rPr>
                <w:sz w:val="24"/>
                <w:szCs w:val="24"/>
              </w:rPr>
              <w:t>,</w:t>
            </w:r>
            <w:r w:rsidR="00DD385D" w:rsidRPr="00D549E1">
              <w:rPr>
                <w:sz w:val="24"/>
                <w:szCs w:val="24"/>
              </w:rPr>
              <w:t xml:space="preserve"> </w:t>
            </w:r>
            <w:r w:rsidR="00FA42D3">
              <w:rPr>
                <w:sz w:val="24"/>
                <w:szCs w:val="24"/>
              </w:rPr>
              <w:t>c</w:t>
            </w:r>
            <w:r w:rsidR="00DD385D" w:rsidRPr="00D549E1">
              <w:rPr>
                <w:sz w:val="24"/>
                <w:szCs w:val="24"/>
              </w:rPr>
              <w:t xml:space="preserve">ommunity </w:t>
            </w:r>
            <w:r w:rsidR="00FA42D3">
              <w:rPr>
                <w:sz w:val="24"/>
                <w:szCs w:val="24"/>
              </w:rPr>
              <w:t>i</w:t>
            </w:r>
            <w:r w:rsidR="00DD385D" w:rsidRPr="00D549E1">
              <w:rPr>
                <w:sz w:val="24"/>
                <w:szCs w:val="24"/>
              </w:rPr>
              <w:t xml:space="preserve">nterest </w:t>
            </w:r>
            <w:r w:rsidR="00FA42D3">
              <w:rPr>
                <w:sz w:val="24"/>
                <w:szCs w:val="24"/>
              </w:rPr>
              <w:t>c</w:t>
            </w:r>
            <w:r w:rsidR="00DD385D" w:rsidRPr="00D549E1">
              <w:rPr>
                <w:sz w:val="24"/>
                <w:szCs w:val="24"/>
              </w:rPr>
              <w:t xml:space="preserve">ompanies or </w:t>
            </w:r>
            <w:r w:rsidR="00FA42D3">
              <w:rPr>
                <w:sz w:val="24"/>
                <w:szCs w:val="24"/>
              </w:rPr>
              <w:t>c</w:t>
            </w:r>
            <w:r w:rsidR="00DD385D" w:rsidRPr="00D549E1">
              <w:rPr>
                <w:sz w:val="24"/>
                <w:szCs w:val="24"/>
              </w:rPr>
              <w:t xml:space="preserve">haritable </w:t>
            </w:r>
            <w:r w:rsidR="00FA42D3">
              <w:rPr>
                <w:sz w:val="24"/>
                <w:szCs w:val="24"/>
              </w:rPr>
              <w:t>i</w:t>
            </w:r>
            <w:r w:rsidR="00DD385D" w:rsidRPr="00D549E1">
              <w:rPr>
                <w:sz w:val="24"/>
                <w:szCs w:val="24"/>
              </w:rPr>
              <w:t xml:space="preserve">ncorporated </w:t>
            </w:r>
            <w:r w:rsidR="00FA42D3">
              <w:rPr>
                <w:sz w:val="24"/>
                <w:szCs w:val="24"/>
              </w:rPr>
              <w:t>o</w:t>
            </w:r>
            <w:r w:rsidR="00DD385D" w:rsidRPr="00D549E1">
              <w:rPr>
                <w:sz w:val="24"/>
                <w:szCs w:val="24"/>
              </w:rPr>
              <w:t>rganisations.</w:t>
            </w:r>
          </w:p>
          <w:p w14:paraId="10A1DB93" w14:textId="5A69C983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 xml:space="preserve">Requirement for provider to state legal entity on Healthwatch website (e.g. </w:t>
            </w:r>
            <w:r w:rsidR="00790599">
              <w:rPr>
                <w:sz w:val="24"/>
                <w:szCs w:val="24"/>
              </w:rPr>
              <w:t>c</w:t>
            </w:r>
            <w:r w:rsidRPr="00D549E1">
              <w:rPr>
                <w:sz w:val="24"/>
                <w:szCs w:val="24"/>
              </w:rPr>
              <w:t>ompany name, number and registered address).</w:t>
            </w:r>
          </w:p>
        </w:tc>
        <w:tc>
          <w:tcPr>
            <w:tcW w:w="1985" w:type="dxa"/>
            <w:shd w:val="clear" w:color="auto" w:fill="BDD6EE" w:themeFill="accent5" w:themeFillTint="66"/>
          </w:tcPr>
          <w:p w14:paraId="0FA3C081" w14:textId="77777777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  <w:p w14:paraId="181CC45F" w14:textId="77777777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733" w:type="dxa"/>
            <w:shd w:val="clear" w:color="auto" w:fill="BDD6EE" w:themeFill="accent5" w:themeFillTint="66"/>
          </w:tcPr>
          <w:p w14:paraId="22A62A22" w14:textId="5DD53343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DD385D" w:rsidRPr="00D549E1" w14:paraId="6FD46AB7" w14:textId="77777777" w:rsidTr="00A1717A">
        <w:tc>
          <w:tcPr>
            <w:tcW w:w="2600" w:type="dxa"/>
            <w:shd w:val="clear" w:color="auto" w:fill="BDD6EE" w:themeFill="accent5" w:themeFillTint="66"/>
          </w:tcPr>
          <w:p w14:paraId="5029828D" w14:textId="0E890958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lastRenderedPageBreak/>
              <w:t>Provision of s 221 statutory activities</w:t>
            </w:r>
          </w:p>
        </w:tc>
        <w:tc>
          <w:tcPr>
            <w:tcW w:w="3632" w:type="dxa"/>
            <w:shd w:val="clear" w:color="auto" w:fill="BDD6EE" w:themeFill="accent5" w:themeFillTint="66"/>
          </w:tcPr>
          <w:p w14:paraId="6382482B" w14:textId="51D74F81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 xml:space="preserve">Set out full list of s 221 statutory activities in </w:t>
            </w:r>
            <w:r w:rsidR="00211CBB" w:rsidRPr="00D549E1">
              <w:rPr>
                <w:sz w:val="24"/>
                <w:szCs w:val="24"/>
              </w:rPr>
              <w:t>service</w:t>
            </w:r>
            <w:r w:rsidRPr="00D549E1">
              <w:rPr>
                <w:sz w:val="24"/>
                <w:szCs w:val="24"/>
              </w:rPr>
              <w:t xml:space="preserve"> specification. Link to outcomes. </w:t>
            </w:r>
          </w:p>
          <w:p w14:paraId="18177782" w14:textId="799BFF3C" w:rsidR="00DD385D" w:rsidRPr="00D549E1" w:rsidRDefault="004620A5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>Should i</w:t>
            </w:r>
            <w:r w:rsidR="00DD385D" w:rsidRPr="00D549E1">
              <w:rPr>
                <w:sz w:val="24"/>
                <w:szCs w:val="24"/>
              </w:rPr>
              <w:t>nclude</w:t>
            </w:r>
            <w:r w:rsidRPr="00D549E1">
              <w:rPr>
                <w:sz w:val="24"/>
                <w:szCs w:val="24"/>
              </w:rPr>
              <w:t xml:space="preserve"> the</w:t>
            </w:r>
            <w:r w:rsidR="00DD385D" w:rsidRPr="00D549E1">
              <w:rPr>
                <w:sz w:val="24"/>
                <w:szCs w:val="24"/>
              </w:rPr>
              <w:t xml:space="preserve"> requirement to provide Healthwatch England with the intelligence and insight we need to perform effectively. </w:t>
            </w:r>
          </w:p>
        </w:tc>
        <w:tc>
          <w:tcPr>
            <w:tcW w:w="1985" w:type="dxa"/>
            <w:shd w:val="clear" w:color="auto" w:fill="BDD6EE" w:themeFill="accent5" w:themeFillTint="66"/>
          </w:tcPr>
          <w:p w14:paraId="5750808E" w14:textId="2A048BA4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733" w:type="dxa"/>
            <w:shd w:val="clear" w:color="auto" w:fill="BDD6EE" w:themeFill="accent5" w:themeFillTint="66"/>
          </w:tcPr>
          <w:p w14:paraId="19A29E33" w14:textId="71C406EB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  <w:p w14:paraId="06CC89F0" w14:textId="5F676F5F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DD385D" w:rsidRPr="00D549E1" w14:paraId="4C36ED90" w14:textId="77777777" w:rsidTr="00A1717A">
        <w:tc>
          <w:tcPr>
            <w:tcW w:w="2600" w:type="dxa"/>
            <w:shd w:val="clear" w:color="auto" w:fill="BDD6EE" w:themeFill="accent5" w:themeFillTint="66"/>
          </w:tcPr>
          <w:p w14:paraId="430EE6F7" w14:textId="3A382D3E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>Healthwatch England issues a trademark licence to Healthwatch provider</w:t>
            </w:r>
          </w:p>
        </w:tc>
        <w:tc>
          <w:tcPr>
            <w:tcW w:w="3632" w:type="dxa"/>
            <w:shd w:val="clear" w:color="auto" w:fill="BDD6EE" w:themeFill="accent5" w:themeFillTint="66"/>
          </w:tcPr>
          <w:p w14:paraId="2DBF6E91" w14:textId="77777777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 xml:space="preserve">Provider must meet and operate under terms of trademark licence. </w:t>
            </w:r>
          </w:p>
        </w:tc>
        <w:tc>
          <w:tcPr>
            <w:tcW w:w="1985" w:type="dxa"/>
            <w:shd w:val="clear" w:color="auto" w:fill="BDD6EE" w:themeFill="accent5" w:themeFillTint="66"/>
          </w:tcPr>
          <w:p w14:paraId="24018C8A" w14:textId="60024454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733" w:type="dxa"/>
            <w:shd w:val="clear" w:color="auto" w:fill="BDD6EE" w:themeFill="accent5" w:themeFillTint="66"/>
          </w:tcPr>
          <w:p w14:paraId="6A795822" w14:textId="77777777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DD385D" w:rsidRPr="00D549E1" w14:paraId="750356F0" w14:textId="77777777" w:rsidTr="00A1717A">
        <w:tc>
          <w:tcPr>
            <w:tcW w:w="2600" w:type="dxa"/>
            <w:shd w:val="clear" w:color="auto" w:fill="BDD6EE" w:themeFill="accent5" w:themeFillTint="66"/>
          </w:tcPr>
          <w:p w14:paraId="724485A6" w14:textId="182C66D0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>Sub-contracting of Healthwatch functions and ensure that sub-contractors operate under the Healthwatch England trademark licence and terms</w:t>
            </w:r>
          </w:p>
        </w:tc>
        <w:tc>
          <w:tcPr>
            <w:tcW w:w="3632" w:type="dxa"/>
            <w:shd w:val="clear" w:color="auto" w:fill="BDD6EE" w:themeFill="accent5" w:themeFillTint="66"/>
          </w:tcPr>
          <w:p w14:paraId="49C8376D" w14:textId="77777777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>See above.</w:t>
            </w:r>
          </w:p>
        </w:tc>
        <w:tc>
          <w:tcPr>
            <w:tcW w:w="1985" w:type="dxa"/>
            <w:shd w:val="clear" w:color="auto" w:fill="BDD6EE" w:themeFill="accent5" w:themeFillTint="66"/>
          </w:tcPr>
          <w:p w14:paraId="21032FD5" w14:textId="2E514416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733" w:type="dxa"/>
            <w:shd w:val="clear" w:color="auto" w:fill="BDD6EE" w:themeFill="accent5" w:themeFillTint="66"/>
          </w:tcPr>
          <w:p w14:paraId="124ED30D" w14:textId="77777777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DD385D" w:rsidRPr="00D549E1" w14:paraId="61A3384D" w14:textId="77777777" w:rsidTr="00A1717A">
        <w:tc>
          <w:tcPr>
            <w:tcW w:w="6232" w:type="dxa"/>
            <w:gridSpan w:val="2"/>
            <w:shd w:val="clear" w:color="auto" w:fill="DEEAF6" w:themeFill="accent5" w:themeFillTint="33"/>
          </w:tcPr>
          <w:p w14:paraId="1C2B1E64" w14:textId="77777777" w:rsidR="00DD385D" w:rsidRPr="00D549E1" w:rsidRDefault="00DD385D" w:rsidP="00DD385D">
            <w:pPr>
              <w:spacing w:before="100" w:after="100"/>
              <w:rPr>
                <w:b/>
                <w:sz w:val="24"/>
                <w:szCs w:val="24"/>
              </w:rPr>
            </w:pPr>
            <w:r w:rsidRPr="00D549E1">
              <w:rPr>
                <w:b/>
                <w:sz w:val="24"/>
                <w:szCs w:val="24"/>
              </w:rPr>
              <w:t>Public function requirements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3D3996B4" w14:textId="77777777" w:rsidR="00DD385D" w:rsidRPr="00D549E1" w:rsidRDefault="00DD385D" w:rsidP="00DD385D">
            <w:pPr>
              <w:spacing w:before="100" w:after="100"/>
              <w:rPr>
                <w:b/>
                <w:sz w:val="24"/>
                <w:szCs w:val="24"/>
              </w:rPr>
            </w:pPr>
          </w:p>
        </w:tc>
        <w:tc>
          <w:tcPr>
            <w:tcW w:w="4733" w:type="dxa"/>
            <w:shd w:val="clear" w:color="auto" w:fill="DEEAF6" w:themeFill="accent5" w:themeFillTint="33"/>
          </w:tcPr>
          <w:p w14:paraId="65574FF4" w14:textId="77777777" w:rsidR="00DD385D" w:rsidRPr="00D549E1" w:rsidRDefault="00DD385D" w:rsidP="00DD385D">
            <w:pPr>
              <w:spacing w:before="100" w:after="100"/>
              <w:rPr>
                <w:b/>
                <w:sz w:val="24"/>
                <w:szCs w:val="24"/>
              </w:rPr>
            </w:pPr>
          </w:p>
        </w:tc>
      </w:tr>
      <w:tr w:rsidR="00DD385D" w:rsidRPr="00D549E1" w14:paraId="30A0908E" w14:textId="77777777" w:rsidTr="00A1717A">
        <w:tc>
          <w:tcPr>
            <w:tcW w:w="2600" w:type="dxa"/>
            <w:shd w:val="clear" w:color="auto" w:fill="BDD6EE" w:themeFill="accent5" w:themeFillTint="66"/>
          </w:tcPr>
          <w:p w14:paraId="4DB3DB0E" w14:textId="776F08A4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 xml:space="preserve">GDPR obligations, including appointment of a </w:t>
            </w:r>
            <w:r w:rsidR="00804632">
              <w:rPr>
                <w:sz w:val="24"/>
                <w:szCs w:val="24"/>
              </w:rPr>
              <w:t>d</w:t>
            </w:r>
            <w:r w:rsidRPr="00D549E1">
              <w:rPr>
                <w:sz w:val="24"/>
                <w:szCs w:val="24"/>
              </w:rPr>
              <w:t xml:space="preserve">ata </w:t>
            </w:r>
            <w:r w:rsidR="00804632">
              <w:rPr>
                <w:sz w:val="24"/>
                <w:szCs w:val="24"/>
              </w:rPr>
              <w:t>p</w:t>
            </w:r>
            <w:r w:rsidRPr="00D549E1">
              <w:rPr>
                <w:sz w:val="24"/>
                <w:szCs w:val="24"/>
              </w:rPr>
              <w:t xml:space="preserve">rotection </w:t>
            </w:r>
            <w:r w:rsidR="00804632">
              <w:rPr>
                <w:sz w:val="24"/>
                <w:szCs w:val="24"/>
              </w:rPr>
              <w:t>o</w:t>
            </w:r>
            <w:r w:rsidRPr="00D549E1">
              <w:rPr>
                <w:sz w:val="24"/>
                <w:szCs w:val="24"/>
              </w:rPr>
              <w:t xml:space="preserve">fficer. Provider to register with ICO and notify about Healthwatch functions  </w:t>
            </w:r>
          </w:p>
        </w:tc>
        <w:tc>
          <w:tcPr>
            <w:tcW w:w="3632" w:type="dxa"/>
            <w:shd w:val="clear" w:color="auto" w:fill="BDD6EE" w:themeFill="accent5" w:themeFillTint="66"/>
          </w:tcPr>
          <w:p w14:paraId="07E7964F" w14:textId="77B6A47D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 xml:space="preserve">We recommend stating </w:t>
            </w:r>
            <w:r w:rsidR="00BB2E0F" w:rsidRPr="00D549E1">
              <w:rPr>
                <w:sz w:val="24"/>
                <w:szCs w:val="24"/>
              </w:rPr>
              <w:t xml:space="preserve">in the service specification </w:t>
            </w:r>
            <w:r w:rsidRPr="00D549E1">
              <w:rPr>
                <w:sz w:val="24"/>
                <w:szCs w:val="24"/>
              </w:rPr>
              <w:t xml:space="preserve">who </w:t>
            </w:r>
            <w:r w:rsidR="00AE4A49">
              <w:rPr>
                <w:sz w:val="24"/>
                <w:szCs w:val="24"/>
              </w:rPr>
              <w:t xml:space="preserve">will be </w:t>
            </w:r>
            <w:r w:rsidRPr="00D549E1">
              <w:rPr>
                <w:sz w:val="24"/>
                <w:szCs w:val="24"/>
              </w:rPr>
              <w:t>the data controller</w:t>
            </w:r>
            <w:r w:rsidR="007E1EDC" w:rsidRPr="00D549E1">
              <w:rPr>
                <w:sz w:val="24"/>
                <w:szCs w:val="24"/>
              </w:rPr>
              <w:t xml:space="preserve"> for the Healthwatch contract</w:t>
            </w:r>
            <w:r w:rsidRPr="00D549E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shd w:val="clear" w:color="auto" w:fill="BDD6EE" w:themeFill="accent5" w:themeFillTint="66"/>
          </w:tcPr>
          <w:p w14:paraId="5A7E0F97" w14:textId="325C7763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733" w:type="dxa"/>
            <w:shd w:val="clear" w:color="auto" w:fill="BDD6EE" w:themeFill="accent5" w:themeFillTint="66"/>
          </w:tcPr>
          <w:p w14:paraId="0EA02463" w14:textId="0F61D933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DD385D" w:rsidRPr="00D549E1" w14:paraId="11321DDE" w14:textId="77777777" w:rsidTr="00A1717A">
        <w:tc>
          <w:tcPr>
            <w:tcW w:w="2600" w:type="dxa"/>
            <w:shd w:val="clear" w:color="auto" w:fill="BDD6EE" w:themeFill="accent5" w:themeFillTint="66"/>
          </w:tcPr>
          <w:p w14:paraId="1AD65FF8" w14:textId="59E922CD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lastRenderedPageBreak/>
              <w:t>Freedom of Information Act</w:t>
            </w:r>
          </w:p>
        </w:tc>
        <w:tc>
          <w:tcPr>
            <w:tcW w:w="3632" w:type="dxa"/>
            <w:shd w:val="clear" w:color="auto" w:fill="BDD6EE" w:themeFill="accent5" w:themeFillTint="66"/>
          </w:tcPr>
          <w:p w14:paraId="2D2C7267" w14:textId="3BC01BCC" w:rsidR="00DD385D" w:rsidRPr="00D549E1" w:rsidRDefault="00BB2E0F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 xml:space="preserve">Service specification </w:t>
            </w:r>
            <w:r w:rsidR="007E1EDC" w:rsidRPr="00D549E1">
              <w:rPr>
                <w:sz w:val="24"/>
                <w:szCs w:val="24"/>
              </w:rPr>
              <w:t xml:space="preserve">should </w:t>
            </w:r>
            <w:r w:rsidR="00DD385D" w:rsidRPr="00D549E1">
              <w:rPr>
                <w:sz w:val="24"/>
                <w:szCs w:val="24"/>
              </w:rPr>
              <w:t>confirm that Healthwatch themselves can be subject to FOI requests</w:t>
            </w:r>
            <w:r w:rsidR="006638FF" w:rsidRPr="00D549E1">
              <w:rPr>
                <w:sz w:val="24"/>
                <w:szCs w:val="24"/>
              </w:rPr>
              <w:t xml:space="preserve"> and </w:t>
            </w:r>
            <w:r w:rsidR="00B83893" w:rsidRPr="00D549E1">
              <w:rPr>
                <w:sz w:val="24"/>
                <w:szCs w:val="24"/>
              </w:rPr>
              <w:t xml:space="preserve">they need to meet </w:t>
            </w:r>
            <w:r w:rsidR="00DD385D" w:rsidRPr="00D549E1">
              <w:rPr>
                <w:sz w:val="24"/>
                <w:szCs w:val="24"/>
              </w:rPr>
              <w:t xml:space="preserve">obligations for </w:t>
            </w:r>
            <w:r w:rsidR="00980654">
              <w:rPr>
                <w:sz w:val="24"/>
                <w:szCs w:val="24"/>
              </w:rPr>
              <w:t xml:space="preserve">the </w:t>
            </w:r>
            <w:r w:rsidR="00DD385D" w:rsidRPr="00D549E1">
              <w:rPr>
                <w:sz w:val="24"/>
                <w:szCs w:val="24"/>
              </w:rPr>
              <w:t>Information Commissioner’s</w:t>
            </w:r>
            <w:r w:rsidR="00557D01">
              <w:rPr>
                <w:sz w:val="24"/>
                <w:szCs w:val="24"/>
              </w:rPr>
              <w:t xml:space="preserve"> Office</w:t>
            </w:r>
            <w:r w:rsidR="00DD385D" w:rsidRPr="00D549E1">
              <w:rPr>
                <w:sz w:val="24"/>
                <w:szCs w:val="24"/>
              </w:rPr>
              <w:t xml:space="preserve"> publication scheme in relation to their statutory activities. </w:t>
            </w:r>
          </w:p>
        </w:tc>
        <w:tc>
          <w:tcPr>
            <w:tcW w:w="1985" w:type="dxa"/>
            <w:shd w:val="clear" w:color="auto" w:fill="BDD6EE" w:themeFill="accent5" w:themeFillTint="66"/>
          </w:tcPr>
          <w:p w14:paraId="1D2DB3EF" w14:textId="3558DDF3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733" w:type="dxa"/>
            <w:shd w:val="clear" w:color="auto" w:fill="BDD6EE" w:themeFill="accent5" w:themeFillTint="66"/>
          </w:tcPr>
          <w:p w14:paraId="64C5BEB5" w14:textId="0AA8CE7B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DD385D" w:rsidRPr="00D549E1" w14:paraId="5FB111F5" w14:textId="77777777" w:rsidTr="00A1717A">
        <w:tc>
          <w:tcPr>
            <w:tcW w:w="2600" w:type="dxa"/>
            <w:shd w:val="clear" w:color="auto" w:fill="BDD6EE" w:themeFill="accent5" w:themeFillTint="66"/>
          </w:tcPr>
          <w:p w14:paraId="4AB087A5" w14:textId="5FE90962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>Public sector equality duty</w:t>
            </w:r>
          </w:p>
        </w:tc>
        <w:tc>
          <w:tcPr>
            <w:tcW w:w="3632" w:type="dxa"/>
            <w:shd w:val="clear" w:color="auto" w:fill="BDD6EE" w:themeFill="accent5" w:themeFillTint="66"/>
          </w:tcPr>
          <w:p w14:paraId="71508F0B" w14:textId="1970D87C" w:rsidR="00DD385D" w:rsidRPr="00D549E1" w:rsidRDefault="00B83893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 xml:space="preserve">Service specification </w:t>
            </w:r>
            <w:r w:rsidR="007E1EDC" w:rsidRPr="00D549E1">
              <w:rPr>
                <w:sz w:val="24"/>
                <w:szCs w:val="24"/>
              </w:rPr>
              <w:t xml:space="preserve">should </w:t>
            </w:r>
            <w:r w:rsidR="00DD385D" w:rsidRPr="00D549E1">
              <w:rPr>
                <w:sz w:val="24"/>
                <w:szCs w:val="24"/>
              </w:rPr>
              <w:t>confirm that Healthwatch has a duty under the Equality Act 2010 and the State’s obligations under the Human Rights Act 1998.</w:t>
            </w:r>
            <w:r w:rsidR="00DD385D" w:rsidRPr="00D549E1">
              <w:rPr>
                <w:sz w:val="24"/>
                <w:szCs w:val="24"/>
                <w:vertAlign w:val="superscript"/>
              </w:rPr>
              <w:footnoteReference w:id="2"/>
            </w:r>
            <w:r w:rsidR="00DD385D" w:rsidRPr="00D549E1">
              <w:rPr>
                <w:sz w:val="24"/>
                <w:szCs w:val="24"/>
              </w:rPr>
              <w:t xml:space="preserve">  </w:t>
            </w:r>
            <w:r w:rsidRPr="00D549E1">
              <w:rPr>
                <w:sz w:val="24"/>
                <w:szCs w:val="24"/>
              </w:rPr>
              <w:t xml:space="preserve">Service specification </w:t>
            </w:r>
            <w:r w:rsidR="007E1EDC" w:rsidRPr="00D549E1">
              <w:rPr>
                <w:sz w:val="24"/>
                <w:szCs w:val="24"/>
              </w:rPr>
              <w:t xml:space="preserve">should also </w:t>
            </w:r>
            <w:r w:rsidR="00276996" w:rsidRPr="00D549E1">
              <w:rPr>
                <w:sz w:val="24"/>
                <w:szCs w:val="24"/>
              </w:rPr>
              <w:t xml:space="preserve">set out how </w:t>
            </w:r>
            <w:r w:rsidR="00DD385D" w:rsidRPr="00D549E1">
              <w:rPr>
                <w:sz w:val="24"/>
                <w:szCs w:val="24"/>
              </w:rPr>
              <w:t xml:space="preserve">Healthwatch </w:t>
            </w:r>
            <w:r w:rsidR="00276996" w:rsidRPr="00D549E1">
              <w:rPr>
                <w:sz w:val="24"/>
                <w:szCs w:val="24"/>
              </w:rPr>
              <w:t xml:space="preserve">will </w:t>
            </w:r>
            <w:r w:rsidR="00DD385D" w:rsidRPr="00D549E1">
              <w:rPr>
                <w:sz w:val="24"/>
                <w:szCs w:val="24"/>
              </w:rPr>
              <w:t xml:space="preserve">meet their public duties under the Equality Act and </w:t>
            </w:r>
            <w:r w:rsidR="00276996" w:rsidRPr="00D549E1">
              <w:rPr>
                <w:sz w:val="24"/>
                <w:szCs w:val="24"/>
              </w:rPr>
              <w:t xml:space="preserve">how they will be </w:t>
            </w:r>
            <w:r w:rsidR="00DD385D" w:rsidRPr="00D549E1">
              <w:rPr>
                <w:sz w:val="24"/>
                <w:szCs w:val="24"/>
              </w:rPr>
              <w:t>effective at reaching and working with protected characteristic groups and other seldom heard sections of their community.</w:t>
            </w:r>
          </w:p>
        </w:tc>
        <w:tc>
          <w:tcPr>
            <w:tcW w:w="1985" w:type="dxa"/>
            <w:shd w:val="clear" w:color="auto" w:fill="BDD6EE" w:themeFill="accent5" w:themeFillTint="66"/>
          </w:tcPr>
          <w:p w14:paraId="3A8C8B7D" w14:textId="3D129273" w:rsidR="00DD385D" w:rsidRPr="00D549E1" w:rsidRDefault="00EC7BA9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33" w:type="dxa"/>
            <w:shd w:val="clear" w:color="auto" w:fill="BDD6EE" w:themeFill="accent5" w:themeFillTint="66"/>
          </w:tcPr>
          <w:p w14:paraId="24976958" w14:textId="68CF3B29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DD385D" w:rsidRPr="00D549E1" w14:paraId="10ABAFD1" w14:textId="77777777" w:rsidTr="00A1717A">
        <w:tc>
          <w:tcPr>
            <w:tcW w:w="2600" w:type="dxa"/>
            <w:shd w:val="clear" w:color="auto" w:fill="BDD6EE" w:themeFill="accent5" w:themeFillTint="66"/>
          </w:tcPr>
          <w:p w14:paraId="270ADEAA" w14:textId="0A19D88F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>Operate to Nolan principles</w:t>
            </w:r>
          </w:p>
        </w:tc>
        <w:tc>
          <w:tcPr>
            <w:tcW w:w="3632" w:type="dxa"/>
            <w:shd w:val="clear" w:color="auto" w:fill="BDD6EE" w:themeFill="accent5" w:themeFillTint="66"/>
          </w:tcPr>
          <w:p w14:paraId="670CE07E" w14:textId="48627350" w:rsidR="00DD385D" w:rsidRPr="00D549E1" w:rsidRDefault="00276996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 xml:space="preserve">Service specification should </w:t>
            </w:r>
            <w:r w:rsidR="00DD385D" w:rsidRPr="00D549E1">
              <w:rPr>
                <w:sz w:val="24"/>
                <w:szCs w:val="24"/>
              </w:rPr>
              <w:t xml:space="preserve">stipulate this. </w:t>
            </w:r>
          </w:p>
        </w:tc>
        <w:tc>
          <w:tcPr>
            <w:tcW w:w="1985" w:type="dxa"/>
            <w:shd w:val="clear" w:color="auto" w:fill="BDD6EE" w:themeFill="accent5" w:themeFillTint="66"/>
          </w:tcPr>
          <w:p w14:paraId="740D3F93" w14:textId="6A23AAFE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733" w:type="dxa"/>
            <w:shd w:val="clear" w:color="auto" w:fill="BDD6EE" w:themeFill="accent5" w:themeFillTint="66"/>
          </w:tcPr>
          <w:p w14:paraId="3B4CE9A2" w14:textId="77777777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DD385D" w:rsidRPr="00D549E1" w14:paraId="2C39A530" w14:textId="77777777" w:rsidTr="00A1717A">
        <w:tc>
          <w:tcPr>
            <w:tcW w:w="2600" w:type="dxa"/>
            <w:shd w:val="clear" w:color="auto" w:fill="BDD6EE" w:themeFill="accent5" w:themeFillTint="66"/>
          </w:tcPr>
          <w:p w14:paraId="25848EBD" w14:textId="1C95A544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 xml:space="preserve">Operate in compliance with </w:t>
            </w:r>
            <w:r w:rsidR="00276996" w:rsidRPr="00D549E1">
              <w:rPr>
                <w:sz w:val="24"/>
                <w:szCs w:val="24"/>
              </w:rPr>
              <w:t xml:space="preserve">all </w:t>
            </w:r>
            <w:r w:rsidRPr="00D549E1">
              <w:rPr>
                <w:sz w:val="24"/>
                <w:szCs w:val="24"/>
              </w:rPr>
              <w:t>legislation and regulations</w:t>
            </w:r>
          </w:p>
        </w:tc>
        <w:tc>
          <w:tcPr>
            <w:tcW w:w="3632" w:type="dxa"/>
            <w:shd w:val="clear" w:color="auto" w:fill="BDD6EE" w:themeFill="accent5" w:themeFillTint="66"/>
          </w:tcPr>
          <w:p w14:paraId="6964A9C5" w14:textId="2BF9B604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 xml:space="preserve">Refer potential providers to Healthwatch England’s </w:t>
            </w:r>
            <w:hyperlink r:id="rId7" w:history="1">
              <w:r w:rsidRPr="00D549E1">
                <w:rPr>
                  <w:rStyle w:val="Hyperlink"/>
                  <w:sz w:val="24"/>
                  <w:szCs w:val="24"/>
                </w:rPr>
                <w:t>A Guide to Running a Healthwatch</w:t>
              </w:r>
            </w:hyperlink>
            <w:r w:rsidRPr="00D549E1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BDD6EE" w:themeFill="accent5" w:themeFillTint="66"/>
          </w:tcPr>
          <w:p w14:paraId="55D1E4D9" w14:textId="3646A10B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733" w:type="dxa"/>
            <w:shd w:val="clear" w:color="auto" w:fill="BDD6EE" w:themeFill="accent5" w:themeFillTint="66"/>
          </w:tcPr>
          <w:p w14:paraId="70454374" w14:textId="77777777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DD385D" w:rsidRPr="00D549E1" w14:paraId="1B9D59B1" w14:textId="77777777" w:rsidTr="00A1717A">
        <w:tc>
          <w:tcPr>
            <w:tcW w:w="6232" w:type="dxa"/>
            <w:gridSpan w:val="2"/>
            <w:shd w:val="clear" w:color="auto" w:fill="DEEAF6" w:themeFill="accent5" w:themeFillTint="33"/>
          </w:tcPr>
          <w:p w14:paraId="3A82F994" w14:textId="77777777" w:rsidR="00DD385D" w:rsidRPr="00D549E1" w:rsidRDefault="00DD385D" w:rsidP="00DD385D">
            <w:pPr>
              <w:spacing w:before="100" w:after="100"/>
              <w:rPr>
                <w:b/>
                <w:sz w:val="24"/>
                <w:szCs w:val="24"/>
              </w:rPr>
            </w:pPr>
            <w:r w:rsidRPr="00D549E1">
              <w:rPr>
                <w:b/>
                <w:sz w:val="24"/>
                <w:szCs w:val="24"/>
              </w:rPr>
              <w:lastRenderedPageBreak/>
              <w:t>Transparency: decision-making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4DAD861F" w14:textId="77777777" w:rsidR="00DD385D" w:rsidRPr="00D549E1" w:rsidRDefault="00DD385D" w:rsidP="00DD385D">
            <w:pPr>
              <w:spacing w:before="100" w:after="100"/>
              <w:rPr>
                <w:b/>
                <w:sz w:val="24"/>
                <w:szCs w:val="24"/>
              </w:rPr>
            </w:pPr>
          </w:p>
        </w:tc>
        <w:tc>
          <w:tcPr>
            <w:tcW w:w="4733" w:type="dxa"/>
            <w:shd w:val="clear" w:color="auto" w:fill="DEEAF6" w:themeFill="accent5" w:themeFillTint="33"/>
          </w:tcPr>
          <w:p w14:paraId="14FF278F" w14:textId="77777777" w:rsidR="00DD385D" w:rsidRPr="00D549E1" w:rsidRDefault="00DD385D" w:rsidP="00DD385D">
            <w:pPr>
              <w:spacing w:before="100" w:after="100"/>
              <w:rPr>
                <w:b/>
                <w:sz w:val="24"/>
                <w:szCs w:val="24"/>
              </w:rPr>
            </w:pPr>
          </w:p>
        </w:tc>
      </w:tr>
      <w:tr w:rsidR="00DD385D" w:rsidRPr="00D549E1" w14:paraId="54AA15C6" w14:textId="77777777" w:rsidTr="00A1717A">
        <w:tc>
          <w:tcPr>
            <w:tcW w:w="2600" w:type="dxa"/>
            <w:shd w:val="clear" w:color="auto" w:fill="BDD6EE" w:themeFill="accent5" w:themeFillTint="66"/>
          </w:tcPr>
          <w:p w14:paraId="7E868C60" w14:textId="33F1E7D6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>Healthwatch publishes its decision-making policy for making relevant decisions</w:t>
            </w:r>
          </w:p>
        </w:tc>
        <w:tc>
          <w:tcPr>
            <w:tcW w:w="3632" w:type="dxa"/>
            <w:shd w:val="clear" w:color="auto" w:fill="BDD6EE" w:themeFill="accent5" w:themeFillTint="66"/>
          </w:tcPr>
          <w:p w14:paraId="258F55C5" w14:textId="0B203815" w:rsidR="00DD385D" w:rsidRPr="00D549E1" w:rsidRDefault="00820CC6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 xml:space="preserve">Service specification </w:t>
            </w:r>
            <w:r w:rsidR="007E1EDC" w:rsidRPr="00D549E1">
              <w:rPr>
                <w:sz w:val="24"/>
                <w:szCs w:val="24"/>
              </w:rPr>
              <w:t xml:space="preserve">should </w:t>
            </w:r>
            <w:r w:rsidR="00DD385D" w:rsidRPr="00D549E1">
              <w:rPr>
                <w:sz w:val="24"/>
                <w:szCs w:val="24"/>
              </w:rPr>
              <w:t>stipulate</w:t>
            </w:r>
            <w:r w:rsidR="007E1EDC" w:rsidRPr="00D549E1">
              <w:rPr>
                <w:sz w:val="24"/>
                <w:szCs w:val="24"/>
              </w:rPr>
              <w:t xml:space="preserve"> the</w:t>
            </w:r>
            <w:r w:rsidR="00DD385D" w:rsidRPr="00D549E1">
              <w:rPr>
                <w:sz w:val="24"/>
                <w:szCs w:val="24"/>
              </w:rPr>
              <w:t xml:space="preserve"> publication of </w:t>
            </w:r>
            <w:r w:rsidR="007E1EDC" w:rsidRPr="00D549E1">
              <w:rPr>
                <w:sz w:val="24"/>
                <w:szCs w:val="24"/>
              </w:rPr>
              <w:t xml:space="preserve">a </w:t>
            </w:r>
            <w:r w:rsidR="00DD385D" w:rsidRPr="00D549E1">
              <w:rPr>
                <w:sz w:val="24"/>
                <w:szCs w:val="24"/>
              </w:rPr>
              <w:t>decision-making policy on website</w:t>
            </w:r>
            <w:r w:rsidR="00353226" w:rsidRPr="00D549E1">
              <w:rPr>
                <w:sz w:val="24"/>
                <w:szCs w:val="24"/>
              </w:rPr>
              <w:t xml:space="preserve"> and </w:t>
            </w:r>
            <w:r w:rsidR="00DD385D" w:rsidRPr="00D549E1">
              <w:rPr>
                <w:sz w:val="24"/>
                <w:szCs w:val="24"/>
              </w:rPr>
              <w:t>adherence to Guide to Running a Healthwatch</w:t>
            </w:r>
            <w:r w:rsidR="00353226" w:rsidRPr="00D549E1">
              <w:rPr>
                <w:sz w:val="24"/>
                <w:szCs w:val="24"/>
              </w:rPr>
              <w:t xml:space="preserve"> in respect of:</w:t>
            </w:r>
          </w:p>
          <w:p w14:paraId="06DA36BE" w14:textId="77777777" w:rsidR="00DD385D" w:rsidRPr="00D549E1" w:rsidRDefault="00DD385D" w:rsidP="00DD385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>Involvement of lay people and volunteers</w:t>
            </w:r>
          </w:p>
          <w:p w14:paraId="7C72D822" w14:textId="77777777" w:rsidR="00DD385D" w:rsidRPr="00D549E1" w:rsidRDefault="00DD385D" w:rsidP="00DD385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>Holding meetings in public</w:t>
            </w:r>
          </w:p>
          <w:p w14:paraId="5CDA8AA2" w14:textId="77777777" w:rsidR="00DD385D" w:rsidRPr="00D549E1" w:rsidRDefault="00DD385D" w:rsidP="00DD385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>Spending</w:t>
            </w:r>
          </w:p>
          <w:p w14:paraId="47055379" w14:textId="77777777" w:rsidR="00DD385D" w:rsidRPr="00D549E1" w:rsidRDefault="00DD385D" w:rsidP="00DD385D">
            <w:pPr>
              <w:numPr>
                <w:ilvl w:val="0"/>
                <w:numId w:val="1"/>
              </w:numPr>
              <w:spacing w:before="100" w:after="100"/>
              <w:contextualSpacing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>Priorities and process for arriving at them</w:t>
            </w:r>
          </w:p>
          <w:p w14:paraId="449E39D5" w14:textId="77777777" w:rsidR="008954A2" w:rsidRPr="00D549E1" w:rsidRDefault="008954A2" w:rsidP="00DD385D">
            <w:pPr>
              <w:spacing w:before="100" w:after="100"/>
              <w:rPr>
                <w:sz w:val="24"/>
                <w:szCs w:val="24"/>
              </w:rPr>
            </w:pPr>
          </w:p>
          <w:p w14:paraId="542A9503" w14:textId="77777777" w:rsidR="00E05493" w:rsidRDefault="00E05493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 xml:space="preserve">Service specification should also set out the </w:t>
            </w:r>
            <w:r w:rsidR="00440041" w:rsidRPr="00D549E1">
              <w:rPr>
                <w:sz w:val="24"/>
                <w:szCs w:val="24"/>
              </w:rPr>
              <w:t>r</w:t>
            </w:r>
            <w:r w:rsidR="00DD385D" w:rsidRPr="00D549E1">
              <w:rPr>
                <w:sz w:val="24"/>
                <w:szCs w:val="24"/>
              </w:rPr>
              <w:t>equirement for Healthwatch to</w:t>
            </w:r>
            <w:r w:rsidRPr="00D549E1">
              <w:rPr>
                <w:sz w:val="24"/>
                <w:szCs w:val="24"/>
              </w:rPr>
              <w:t>:</w:t>
            </w:r>
          </w:p>
          <w:p w14:paraId="3A6DF03B" w14:textId="77777777" w:rsidR="00AE4A49" w:rsidRPr="00D549E1" w:rsidRDefault="00AE4A49" w:rsidP="00DD385D">
            <w:pPr>
              <w:spacing w:before="100" w:after="100"/>
              <w:rPr>
                <w:sz w:val="24"/>
                <w:szCs w:val="24"/>
              </w:rPr>
            </w:pPr>
          </w:p>
          <w:p w14:paraId="32603501" w14:textId="7C3FE124" w:rsidR="00DD385D" w:rsidRPr="00D549E1" w:rsidRDefault="00E05493" w:rsidP="00E05493">
            <w:pPr>
              <w:pStyle w:val="ListParagraph"/>
              <w:numPr>
                <w:ilvl w:val="0"/>
                <w:numId w:val="3"/>
              </w:num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>P</w:t>
            </w:r>
            <w:r w:rsidR="00DD385D" w:rsidRPr="00D549E1">
              <w:rPr>
                <w:sz w:val="24"/>
                <w:szCs w:val="24"/>
              </w:rPr>
              <w:t xml:space="preserve">ublish minutes of meetings on its website </w:t>
            </w:r>
          </w:p>
          <w:p w14:paraId="2FDE3E5B" w14:textId="3FCFCF83" w:rsidR="00DD385D" w:rsidRPr="00D549E1" w:rsidRDefault="00E05493" w:rsidP="00E05493">
            <w:pPr>
              <w:pStyle w:val="ListParagraph"/>
              <w:numPr>
                <w:ilvl w:val="0"/>
                <w:numId w:val="3"/>
              </w:num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>R</w:t>
            </w:r>
            <w:r w:rsidR="00DD385D" w:rsidRPr="00D549E1">
              <w:rPr>
                <w:sz w:val="24"/>
                <w:szCs w:val="24"/>
              </w:rPr>
              <w:t xml:space="preserve">eport any breaches in decision-making procedures to the local authority </w:t>
            </w:r>
          </w:p>
          <w:p w14:paraId="7C0AFE79" w14:textId="74BA038D" w:rsidR="00D549E1" w:rsidRPr="00D549E1" w:rsidRDefault="00E05493" w:rsidP="00AE4A49">
            <w:pPr>
              <w:pStyle w:val="ListParagraph"/>
              <w:numPr>
                <w:ilvl w:val="0"/>
                <w:numId w:val="3"/>
              </w:num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>Provide t</w:t>
            </w:r>
            <w:r w:rsidR="00DD385D" w:rsidRPr="00D549E1">
              <w:rPr>
                <w:sz w:val="24"/>
                <w:szCs w:val="24"/>
              </w:rPr>
              <w:t>ransparency on income and expenditure under the Healthwatch brand</w:t>
            </w:r>
          </w:p>
        </w:tc>
        <w:tc>
          <w:tcPr>
            <w:tcW w:w="1985" w:type="dxa"/>
            <w:shd w:val="clear" w:color="auto" w:fill="BDD6EE" w:themeFill="accent5" w:themeFillTint="66"/>
          </w:tcPr>
          <w:p w14:paraId="3185CCCB" w14:textId="417C8B21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  <w:p w14:paraId="750E5106" w14:textId="157BAC55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  <w:p w14:paraId="3D81D180" w14:textId="4D5C067D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  <w:p w14:paraId="4A2C4500" w14:textId="77777777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  <w:p w14:paraId="1F5FDD81" w14:textId="3865583F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  <w:p w14:paraId="3BC162CC" w14:textId="77777777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733" w:type="dxa"/>
            <w:shd w:val="clear" w:color="auto" w:fill="BDD6EE" w:themeFill="accent5" w:themeFillTint="66"/>
          </w:tcPr>
          <w:p w14:paraId="04F80A26" w14:textId="77777777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  <w:p w14:paraId="3AAA05B5" w14:textId="77777777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  <w:p w14:paraId="27A9C98C" w14:textId="77777777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  <w:p w14:paraId="37A5BCB4" w14:textId="77777777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  <w:p w14:paraId="6C450BBF" w14:textId="77777777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  <w:p w14:paraId="2FE08DBB" w14:textId="448EFD4A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DD385D" w:rsidRPr="00D549E1" w14:paraId="31C88B97" w14:textId="77777777" w:rsidTr="00A1717A">
        <w:tc>
          <w:tcPr>
            <w:tcW w:w="6232" w:type="dxa"/>
            <w:gridSpan w:val="2"/>
            <w:shd w:val="clear" w:color="auto" w:fill="DEEAF6" w:themeFill="accent5" w:themeFillTint="33"/>
          </w:tcPr>
          <w:p w14:paraId="1C123AC7" w14:textId="77777777" w:rsidR="00DD385D" w:rsidRPr="00D549E1" w:rsidRDefault="00DD385D" w:rsidP="00DD385D">
            <w:pPr>
              <w:spacing w:before="100" w:after="100"/>
              <w:rPr>
                <w:b/>
                <w:sz w:val="24"/>
                <w:szCs w:val="24"/>
              </w:rPr>
            </w:pPr>
            <w:r w:rsidRPr="00D549E1">
              <w:rPr>
                <w:b/>
                <w:sz w:val="24"/>
                <w:szCs w:val="24"/>
              </w:rPr>
              <w:lastRenderedPageBreak/>
              <w:t>Enter and View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0265A2B6" w14:textId="77777777" w:rsidR="00DD385D" w:rsidRPr="00D549E1" w:rsidRDefault="00DD385D" w:rsidP="00DD385D">
            <w:pPr>
              <w:spacing w:before="100" w:after="100"/>
              <w:rPr>
                <w:b/>
                <w:sz w:val="24"/>
                <w:szCs w:val="24"/>
              </w:rPr>
            </w:pPr>
          </w:p>
        </w:tc>
        <w:tc>
          <w:tcPr>
            <w:tcW w:w="4733" w:type="dxa"/>
            <w:shd w:val="clear" w:color="auto" w:fill="DEEAF6" w:themeFill="accent5" w:themeFillTint="33"/>
          </w:tcPr>
          <w:p w14:paraId="101FDF5C" w14:textId="77777777" w:rsidR="00DD385D" w:rsidRPr="00D549E1" w:rsidRDefault="00DD385D" w:rsidP="00DD385D">
            <w:pPr>
              <w:spacing w:before="100" w:after="100"/>
              <w:rPr>
                <w:b/>
                <w:sz w:val="24"/>
                <w:szCs w:val="24"/>
              </w:rPr>
            </w:pPr>
          </w:p>
        </w:tc>
      </w:tr>
      <w:tr w:rsidR="00DD385D" w:rsidRPr="00D549E1" w14:paraId="7E17BA27" w14:textId="77777777" w:rsidTr="00A1717A">
        <w:tc>
          <w:tcPr>
            <w:tcW w:w="2600" w:type="dxa"/>
            <w:shd w:val="clear" w:color="auto" w:fill="BDD6EE" w:themeFill="accent5" w:themeFillTint="66"/>
          </w:tcPr>
          <w:p w14:paraId="759FEF0D" w14:textId="6257D72E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 xml:space="preserve">Discretionary power of entry with certain requirements </w:t>
            </w:r>
          </w:p>
        </w:tc>
        <w:tc>
          <w:tcPr>
            <w:tcW w:w="3632" w:type="dxa"/>
            <w:shd w:val="clear" w:color="auto" w:fill="BDD6EE" w:themeFill="accent5" w:themeFillTint="66"/>
          </w:tcPr>
          <w:p w14:paraId="13A2C5B4" w14:textId="0066C4E0" w:rsidR="00DD385D" w:rsidRPr="00D549E1" w:rsidRDefault="00353226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>Service specification</w:t>
            </w:r>
            <w:r w:rsidR="00DD385D" w:rsidRPr="00D549E1">
              <w:rPr>
                <w:sz w:val="24"/>
                <w:szCs w:val="24"/>
              </w:rPr>
              <w:t xml:space="preserve"> should </w:t>
            </w:r>
            <w:r w:rsidR="00DD385D" w:rsidRPr="00AE4A49">
              <w:rPr>
                <w:b/>
                <w:bCs/>
                <w:sz w:val="24"/>
                <w:szCs w:val="24"/>
              </w:rPr>
              <w:t xml:space="preserve">not </w:t>
            </w:r>
            <w:r w:rsidR="00DD385D" w:rsidRPr="00D549E1">
              <w:rPr>
                <w:sz w:val="24"/>
                <w:szCs w:val="24"/>
              </w:rPr>
              <w:t xml:space="preserve">stipulate requirements to deliver Enter and View. This is because Enter and View is a method for gathering information rather than a statutory Healthwatch activity. Healthwatch should use their decision-making process to determine whether they deploy their Enter and View powers. </w:t>
            </w:r>
          </w:p>
          <w:p w14:paraId="66874728" w14:textId="63182F8A" w:rsidR="00DD385D" w:rsidRPr="00D549E1" w:rsidRDefault="00353226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 xml:space="preserve">Service specification should </w:t>
            </w:r>
            <w:r w:rsidR="00DD385D" w:rsidRPr="00D549E1">
              <w:rPr>
                <w:sz w:val="24"/>
                <w:szCs w:val="24"/>
              </w:rPr>
              <w:t>stipulate</w:t>
            </w:r>
            <w:r w:rsidRPr="00D549E1">
              <w:rPr>
                <w:sz w:val="24"/>
                <w:szCs w:val="24"/>
              </w:rPr>
              <w:t xml:space="preserve"> that</w:t>
            </w:r>
            <w:r w:rsidR="00DD385D" w:rsidRPr="00D549E1">
              <w:rPr>
                <w:sz w:val="24"/>
                <w:szCs w:val="24"/>
              </w:rPr>
              <w:t xml:space="preserve"> </w:t>
            </w:r>
            <w:r w:rsidRPr="00D549E1">
              <w:rPr>
                <w:sz w:val="24"/>
                <w:szCs w:val="24"/>
              </w:rPr>
              <w:t xml:space="preserve">the </w:t>
            </w:r>
            <w:r w:rsidR="00DD385D" w:rsidRPr="00D549E1">
              <w:rPr>
                <w:sz w:val="24"/>
                <w:szCs w:val="24"/>
              </w:rPr>
              <w:t xml:space="preserve">provider </w:t>
            </w:r>
            <w:r w:rsidR="00866BDC" w:rsidRPr="00D549E1">
              <w:rPr>
                <w:sz w:val="24"/>
                <w:szCs w:val="24"/>
              </w:rPr>
              <w:t xml:space="preserve">will </w:t>
            </w:r>
            <w:r w:rsidR="00DD385D" w:rsidRPr="00D549E1">
              <w:rPr>
                <w:sz w:val="24"/>
                <w:szCs w:val="24"/>
              </w:rPr>
              <w:t>adhere to legal requirements on Enter and View and follows Healthwatch England guidance.</w:t>
            </w:r>
          </w:p>
        </w:tc>
        <w:tc>
          <w:tcPr>
            <w:tcW w:w="1985" w:type="dxa"/>
            <w:shd w:val="clear" w:color="auto" w:fill="BDD6EE" w:themeFill="accent5" w:themeFillTint="66"/>
          </w:tcPr>
          <w:p w14:paraId="6EC1AF48" w14:textId="282E9DFD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733" w:type="dxa"/>
            <w:shd w:val="clear" w:color="auto" w:fill="BDD6EE" w:themeFill="accent5" w:themeFillTint="66"/>
          </w:tcPr>
          <w:p w14:paraId="176E50A0" w14:textId="77777777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DD385D" w:rsidRPr="00D549E1" w14:paraId="5E5B3C52" w14:textId="77777777" w:rsidTr="00A1717A">
        <w:tc>
          <w:tcPr>
            <w:tcW w:w="6232" w:type="dxa"/>
            <w:gridSpan w:val="2"/>
            <w:shd w:val="clear" w:color="auto" w:fill="DEEAF6" w:themeFill="accent5" w:themeFillTint="33"/>
          </w:tcPr>
          <w:p w14:paraId="6F4D5490" w14:textId="77777777" w:rsidR="00DD385D" w:rsidRPr="00D549E1" w:rsidRDefault="00DD385D" w:rsidP="00DD385D">
            <w:pPr>
              <w:spacing w:before="100" w:after="100"/>
              <w:rPr>
                <w:b/>
                <w:sz w:val="24"/>
                <w:szCs w:val="24"/>
              </w:rPr>
            </w:pPr>
            <w:r w:rsidRPr="00D549E1">
              <w:rPr>
                <w:b/>
                <w:sz w:val="24"/>
                <w:szCs w:val="24"/>
              </w:rPr>
              <w:t>Policies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04B215D2" w14:textId="77777777" w:rsidR="00DD385D" w:rsidRPr="00D549E1" w:rsidRDefault="00DD385D" w:rsidP="00DD385D">
            <w:pPr>
              <w:spacing w:before="100" w:after="100"/>
              <w:rPr>
                <w:b/>
                <w:sz w:val="24"/>
                <w:szCs w:val="24"/>
              </w:rPr>
            </w:pPr>
          </w:p>
        </w:tc>
        <w:tc>
          <w:tcPr>
            <w:tcW w:w="4733" w:type="dxa"/>
            <w:shd w:val="clear" w:color="auto" w:fill="DEEAF6" w:themeFill="accent5" w:themeFillTint="33"/>
          </w:tcPr>
          <w:p w14:paraId="3EFBD65B" w14:textId="77777777" w:rsidR="00DD385D" w:rsidRPr="00D549E1" w:rsidRDefault="00DD385D" w:rsidP="00DD385D">
            <w:pPr>
              <w:spacing w:before="100" w:after="100"/>
              <w:rPr>
                <w:b/>
                <w:sz w:val="24"/>
                <w:szCs w:val="24"/>
              </w:rPr>
            </w:pPr>
          </w:p>
        </w:tc>
      </w:tr>
      <w:tr w:rsidR="00DD385D" w:rsidRPr="00D549E1" w14:paraId="04FD5B29" w14:textId="77777777" w:rsidTr="00A1717A">
        <w:tc>
          <w:tcPr>
            <w:tcW w:w="2600" w:type="dxa"/>
            <w:shd w:val="clear" w:color="auto" w:fill="BDD6EE" w:themeFill="accent5" w:themeFillTint="66"/>
          </w:tcPr>
          <w:p w14:paraId="6D25F8C4" w14:textId="77777777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>Conflict of interest</w:t>
            </w:r>
          </w:p>
        </w:tc>
        <w:tc>
          <w:tcPr>
            <w:tcW w:w="3632" w:type="dxa"/>
            <w:shd w:val="clear" w:color="auto" w:fill="BDD6EE" w:themeFill="accent5" w:themeFillTint="66"/>
          </w:tcPr>
          <w:p w14:paraId="64C57561" w14:textId="0690C488" w:rsidR="00DD385D" w:rsidRPr="00D549E1" w:rsidRDefault="006D5511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>Service specification should set out the r</w:t>
            </w:r>
            <w:r w:rsidR="00DD385D" w:rsidRPr="00D549E1">
              <w:rPr>
                <w:sz w:val="24"/>
                <w:szCs w:val="24"/>
              </w:rPr>
              <w:t xml:space="preserve">equirement for Healthwatch to have </w:t>
            </w:r>
            <w:r w:rsidR="00866BDC" w:rsidRPr="00D549E1">
              <w:rPr>
                <w:sz w:val="24"/>
                <w:szCs w:val="24"/>
              </w:rPr>
              <w:t xml:space="preserve">a </w:t>
            </w:r>
            <w:r w:rsidR="00DD385D" w:rsidRPr="00D549E1">
              <w:rPr>
                <w:sz w:val="24"/>
                <w:szCs w:val="24"/>
              </w:rPr>
              <w:t xml:space="preserve">policy and maintain a register on its website. </w:t>
            </w:r>
          </w:p>
        </w:tc>
        <w:tc>
          <w:tcPr>
            <w:tcW w:w="1985" w:type="dxa"/>
            <w:shd w:val="clear" w:color="auto" w:fill="BDD6EE" w:themeFill="accent5" w:themeFillTint="66"/>
          </w:tcPr>
          <w:p w14:paraId="063505F3" w14:textId="77777777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733" w:type="dxa"/>
            <w:shd w:val="clear" w:color="auto" w:fill="BDD6EE" w:themeFill="accent5" w:themeFillTint="66"/>
          </w:tcPr>
          <w:p w14:paraId="3B31EA7C" w14:textId="7ECC22A9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DD385D" w:rsidRPr="00D549E1" w14:paraId="30B8D19F" w14:textId="77777777" w:rsidTr="00A1717A">
        <w:tc>
          <w:tcPr>
            <w:tcW w:w="2600" w:type="dxa"/>
            <w:shd w:val="clear" w:color="auto" w:fill="BDD6EE" w:themeFill="accent5" w:themeFillTint="66"/>
          </w:tcPr>
          <w:p w14:paraId="069EEBA5" w14:textId="05E8F6A0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 xml:space="preserve">Other key policies </w:t>
            </w:r>
            <w:r w:rsidR="006D5511" w:rsidRPr="00D549E1">
              <w:rPr>
                <w:sz w:val="24"/>
                <w:szCs w:val="24"/>
              </w:rPr>
              <w:t xml:space="preserve">which should be </w:t>
            </w:r>
            <w:r w:rsidRPr="00D549E1">
              <w:rPr>
                <w:sz w:val="24"/>
                <w:szCs w:val="24"/>
              </w:rPr>
              <w:t>in place</w:t>
            </w:r>
          </w:p>
        </w:tc>
        <w:tc>
          <w:tcPr>
            <w:tcW w:w="3632" w:type="dxa"/>
            <w:shd w:val="clear" w:color="auto" w:fill="BDD6EE" w:themeFill="accent5" w:themeFillTint="66"/>
          </w:tcPr>
          <w:p w14:paraId="19C2D1D1" w14:textId="4AB8F1AA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 xml:space="preserve">Safeguarding, </w:t>
            </w:r>
            <w:r w:rsidR="00B90376">
              <w:rPr>
                <w:sz w:val="24"/>
                <w:szCs w:val="24"/>
              </w:rPr>
              <w:t>c</w:t>
            </w:r>
            <w:r w:rsidRPr="00D549E1">
              <w:rPr>
                <w:sz w:val="24"/>
                <w:szCs w:val="24"/>
              </w:rPr>
              <w:t xml:space="preserve">onfidentiality and </w:t>
            </w:r>
            <w:r w:rsidR="00B90376">
              <w:rPr>
                <w:sz w:val="24"/>
                <w:szCs w:val="24"/>
              </w:rPr>
              <w:t>d</w:t>
            </w:r>
            <w:r w:rsidRPr="00D549E1">
              <w:rPr>
                <w:sz w:val="24"/>
                <w:szCs w:val="24"/>
              </w:rPr>
              <w:t xml:space="preserve">ata </w:t>
            </w:r>
            <w:r w:rsidR="00B90376">
              <w:rPr>
                <w:sz w:val="24"/>
                <w:szCs w:val="24"/>
              </w:rPr>
              <w:t>p</w:t>
            </w:r>
            <w:r w:rsidRPr="00D549E1">
              <w:rPr>
                <w:sz w:val="24"/>
                <w:szCs w:val="24"/>
              </w:rPr>
              <w:t xml:space="preserve">rotection and </w:t>
            </w:r>
            <w:r w:rsidR="00B90376">
              <w:rPr>
                <w:sz w:val="24"/>
                <w:szCs w:val="24"/>
              </w:rPr>
              <w:t>s</w:t>
            </w:r>
            <w:r w:rsidRPr="00D549E1">
              <w:rPr>
                <w:sz w:val="24"/>
                <w:szCs w:val="24"/>
              </w:rPr>
              <w:t xml:space="preserve">ecurity. </w:t>
            </w:r>
          </w:p>
          <w:p w14:paraId="60B2376F" w14:textId="77777777" w:rsidR="00DD385D" w:rsidRDefault="00DD385D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>Cyber security (websites, emails etc.)</w:t>
            </w:r>
          </w:p>
          <w:p w14:paraId="61F7ED3B" w14:textId="77777777" w:rsidR="00D549E1" w:rsidRPr="00D549E1" w:rsidRDefault="00D549E1" w:rsidP="00DD385D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DD6EE" w:themeFill="accent5" w:themeFillTint="66"/>
          </w:tcPr>
          <w:p w14:paraId="7F54D402" w14:textId="77777777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733" w:type="dxa"/>
            <w:shd w:val="clear" w:color="auto" w:fill="BDD6EE" w:themeFill="accent5" w:themeFillTint="66"/>
          </w:tcPr>
          <w:p w14:paraId="74566049" w14:textId="26D8E98E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DD385D" w:rsidRPr="00D549E1" w14:paraId="61A78D5D" w14:textId="77777777" w:rsidTr="00A1717A">
        <w:tc>
          <w:tcPr>
            <w:tcW w:w="6232" w:type="dxa"/>
            <w:gridSpan w:val="2"/>
            <w:shd w:val="clear" w:color="auto" w:fill="DEEAF6" w:themeFill="accent5" w:themeFillTint="33"/>
          </w:tcPr>
          <w:p w14:paraId="3D4E9967" w14:textId="77777777" w:rsidR="00DD385D" w:rsidRPr="00D549E1" w:rsidRDefault="00DD385D" w:rsidP="00DD385D">
            <w:pPr>
              <w:spacing w:before="100" w:after="100"/>
              <w:rPr>
                <w:b/>
                <w:sz w:val="24"/>
                <w:szCs w:val="24"/>
              </w:rPr>
            </w:pPr>
            <w:r w:rsidRPr="00D549E1">
              <w:rPr>
                <w:b/>
                <w:sz w:val="24"/>
                <w:szCs w:val="24"/>
              </w:rPr>
              <w:lastRenderedPageBreak/>
              <w:t>Other considerations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0B5FD9B1" w14:textId="77777777" w:rsidR="00DD385D" w:rsidRPr="00D549E1" w:rsidRDefault="00DD385D" w:rsidP="00DD385D">
            <w:pPr>
              <w:spacing w:before="100" w:after="100"/>
              <w:rPr>
                <w:b/>
                <w:sz w:val="24"/>
                <w:szCs w:val="24"/>
              </w:rPr>
            </w:pPr>
          </w:p>
        </w:tc>
        <w:tc>
          <w:tcPr>
            <w:tcW w:w="4733" w:type="dxa"/>
            <w:shd w:val="clear" w:color="auto" w:fill="DEEAF6" w:themeFill="accent5" w:themeFillTint="33"/>
          </w:tcPr>
          <w:p w14:paraId="772F0389" w14:textId="77777777" w:rsidR="00DD385D" w:rsidRPr="00D549E1" w:rsidRDefault="00DD385D" w:rsidP="00DD385D">
            <w:pPr>
              <w:spacing w:before="100" w:after="100"/>
              <w:rPr>
                <w:b/>
                <w:sz w:val="24"/>
                <w:szCs w:val="24"/>
              </w:rPr>
            </w:pPr>
          </w:p>
        </w:tc>
      </w:tr>
      <w:tr w:rsidR="00340167" w:rsidRPr="00D549E1" w14:paraId="655526C0" w14:textId="77777777" w:rsidTr="00A1717A">
        <w:tc>
          <w:tcPr>
            <w:tcW w:w="2600" w:type="dxa"/>
            <w:shd w:val="clear" w:color="auto" w:fill="BDD6EE" w:themeFill="accent5" w:themeFillTint="66"/>
          </w:tcPr>
          <w:p w14:paraId="0282B015" w14:textId="3E3B77B8" w:rsidR="00340167" w:rsidRPr="00D549E1" w:rsidRDefault="00573B36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 xml:space="preserve">Shared values </w:t>
            </w:r>
          </w:p>
        </w:tc>
        <w:tc>
          <w:tcPr>
            <w:tcW w:w="3632" w:type="dxa"/>
            <w:shd w:val="clear" w:color="auto" w:fill="BDD6EE" w:themeFill="accent5" w:themeFillTint="66"/>
          </w:tcPr>
          <w:p w14:paraId="7D656B5B" w14:textId="77777777" w:rsidR="006D5511" w:rsidRPr="00D549E1" w:rsidRDefault="006D5511" w:rsidP="00702B5A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 xml:space="preserve">Service specification should </w:t>
            </w:r>
            <w:r w:rsidR="00BE5549" w:rsidRPr="00D549E1">
              <w:rPr>
                <w:sz w:val="24"/>
                <w:szCs w:val="24"/>
              </w:rPr>
              <w:t>ask for the Healthwatch shared values to be embraced</w:t>
            </w:r>
            <w:r w:rsidR="008349A0" w:rsidRPr="00D549E1">
              <w:rPr>
                <w:sz w:val="24"/>
                <w:szCs w:val="24"/>
              </w:rPr>
              <w:t>, published and acted upon</w:t>
            </w:r>
            <w:r w:rsidR="00943972" w:rsidRPr="00D549E1">
              <w:rPr>
                <w:sz w:val="24"/>
                <w:szCs w:val="24"/>
              </w:rPr>
              <w:t xml:space="preserve">. </w:t>
            </w:r>
          </w:p>
          <w:p w14:paraId="599E96C2" w14:textId="13DC16DA" w:rsidR="00943972" w:rsidRPr="00D549E1" w:rsidRDefault="00943972" w:rsidP="00702B5A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>The</w:t>
            </w:r>
            <w:r w:rsidR="131DBC83" w:rsidRPr="00D549E1">
              <w:rPr>
                <w:sz w:val="24"/>
                <w:szCs w:val="24"/>
              </w:rPr>
              <w:t xml:space="preserve"> shared values </w:t>
            </w:r>
            <w:r w:rsidRPr="00D549E1">
              <w:rPr>
                <w:sz w:val="24"/>
                <w:szCs w:val="24"/>
              </w:rPr>
              <w:t>are</w:t>
            </w:r>
            <w:r w:rsidR="0306BE83" w:rsidRPr="00D549E1">
              <w:rPr>
                <w:sz w:val="24"/>
                <w:szCs w:val="24"/>
              </w:rPr>
              <w:t>:</w:t>
            </w:r>
          </w:p>
          <w:p w14:paraId="6910C87B" w14:textId="291CE3ED" w:rsidR="00943972" w:rsidRPr="00D549E1" w:rsidRDefault="0B67BDEC" w:rsidP="00702B5A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>E</w:t>
            </w:r>
            <w:r w:rsidR="00702B5A" w:rsidRPr="00D549E1">
              <w:rPr>
                <w:sz w:val="24"/>
                <w:szCs w:val="24"/>
              </w:rPr>
              <w:t xml:space="preserve">quity, </w:t>
            </w:r>
            <w:r w:rsidR="00C03EFC">
              <w:rPr>
                <w:sz w:val="24"/>
                <w:szCs w:val="24"/>
              </w:rPr>
              <w:t>c</w:t>
            </w:r>
            <w:r w:rsidR="00702B5A" w:rsidRPr="00D549E1">
              <w:rPr>
                <w:sz w:val="24"/>
                <w:szCs w:val="24"/>
              </w:rPr>
              <w:t xml:space="preserve">ollaboration, </w:t>
            </w:r>
            <w:r w:rsidR="00C03EFC">
              <w:rPr>
                <w:sz w:val="24"/>
                <w:szCs w:val="24"/>
              </w:rPr>
              <w:t>i</w:t>
            </w:r>
            <w:r w:rsidR="00BE7956" w:rsidRPr="00D549E1">
              <w:rPr>
                <w:sz w:val="24"/>
                <w:szCs w:val="24"/>
              </w:rPr>
              <w:t>ndependence</w:t>
            </w:r>
            <w:r w:rsidR="00702B5A" w:rsidRPr="00D549E1">
              <w:rPr>
                <w:sz w:val="24"/>
                <w:szCs w:val="24"/>
              </w:rPr>
              <w:t xml:space="preserve">, </w:t>
            </w:r>
            <w:r w:rsidR="00C03EFC">
              <w:rPr>
                <w:sz w:val="24"/>
                <w:szCs w:val="24"/>
              </w:rPr>
              <w:t>t</w:t>
            </w:r>
            <w:r w:rsidR="00702B5A" w:rsidRPr="00D549E1">
              <w:rPr>
                <w:sz w:val="24"/>
                <w:szCs w:val="24"/>
              </w:rPr>
              <w:t xml:space="preserve">ruth and </w:t>
            </w:r>
            <w:r w:rsidR="00C03EFC">
              <w:rPr>
                <w:sz w:val="24"/>
                <w:szCs w:val="24"/>
              </w:rPr>
              <w:t>i</w:t>
            </w:r>
            <w:r w:rsidR="00BE7956" w:rsidRPr="00D549E1">
              <w:rPr>
                <w:sz w:val="24"/>
                <w:szCs w:val="24"/>
              </w:rPr>
              <w:t>mpact</w:t>
            </w:r>
            <w:r w:rsidR="00816318" w:rsidRPr="00D549E1">
              <w:rPr>
                <w:sz w:val="24"/>
                <w:szCs w:val="24"/>
              </w:rPr>
              <w:t>.</w:t>
            </w:r>
          </w:p>
          <w:p w14:paraId="6AA9BC4A" w14:textId="016DCCEC" w:rsidR="00702B5A" w:rsidRPr="00D549E1" w:rsidRDefault="00702B5A" w:rsidP="00702B5A">
            <w:pPr>
              <w:spacing w:before="100" w:after="100"/>
              <w:rPr>
                <w:sz w:val="24"/>
                <w:szCs w:val="24"/>
              </w:rPr>
            </w:pPr>
            <w:hyperlink r:id="rId8" w:history="1">
              <w:r w:rsidRPr="00D549E1">
                <w:rPr>
                  <w:rStyle w:val="Hyperlink"/>
                  <w:sz w:val="24"/>
                  <w:szCs w:val="24"/>
                </w:rPr>
                <w:t>Our shared values</w:t>
              </w:r>
            </w:hyperlink>
          </w:p>
        </w:tc>
        <w:tc>
          <w:tcPr>
            <w:tcW w:w="1985" w:type="dxa"/>
            <w:shd w:val="clear" w:color="auto" w:fill="BDD6EE" w:themeFill="accent5" w:themeFillTint="66"/>
          </w:tcPr>
          <w:p w14:paraId="0CA9589A" w14:textId="77777777" w:rsidR="00340167" w:rsidRPr="00D549E1" w:rsidRDefault="00340167" w:rsidP="00DD385D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733" w:type="dxa"/>
            <w:shd w:val="clear" w:color="auto" w:fill="BDD6EE" w:themeFill="accent5" w:themeFillTint="66"/>
          </w:tcPr>
          <w:p w14:paraId="57B8BDC6" w14:textId="77777777" w:rsidR="00340167" w:rsidRPr="00D549E1" w:rsidRDefault="00340167" w:rsidP="00DD385D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DD385D" w:rsidRPr="00D549E1" w14:paraId="0B3471C2" w14:textId="77777777" w:rsidTr="00A1717A">
        <w:tc>
          <w:tcPr>
            <w:tcW w:w="2600" w:type="dxa"/>
            <w:shd w:val="clear" w:color="auto" w:fill="BDD6EE" w:themeFill="accent5" w:themeFillTint="66"/>
          </w:tcPr>
          <w:p w14:paraId="73E70685" w14:textId="5EE6E2C4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 xml:space="preserve">Independence of voice and action. This is core to Healthwatch in terms of their decision-making, representing views and making reports and recommendations to health and care providers </w:t>
            </w:r>
          </w:p>
        </w:tc>
        <w:tc>
          <w:tcPr>
            <w:tcW w:w="3632" w:type="dxa"/>
            <w:shd w:val="clear" w:color="auto" w:fill="BDD6EE" w:themeFill="accent5" w:themeFillTint="66"/>
          </w:tcPr>
          <w:p w14:paraId="00F1FF13" w14:textId="3A82D006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 xml:space="preserve">Consider whether terms </w:t>
            </w:r>
            <w:r w:rsidR="00452569" w:rsidRPr="00D549E1">
              <w:rPr>
                <w:sz w:val="24"/>
                <w:szCs w:val="24"/>
              </w:rPr>
              <w:t xml:space="preserve">set out in the service specification could </w:t>
            </w:r>
            <w:r w:rsidRPr="00D549E1">
              <w:rPr>
                <w:sz w:val="24"/>
                <w:szCs w:val="24"/>
              </w:rPr>
              <w:t>prevent Healthwatch acting independently.</w:t>
            </w:r>
          </w:p>
        </w:tc>
        <w:tc>
          <w:tcPr>
            <w:tcW w:w="1985" w:type="dxa"/>
            <w:shd w:val="clear" w:color="auto" w:fill="BDD6EE" w:themeFill="accent5" w:themeFillTint="66"/>
          </w:tcPr>
          <w:p w14:paraId="5ED33EF6" w14:textId="5B0D433A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733" w:type="dxa"/>
            <w:shd w:val="clear" w:color="auto" w:fill="BDD6EE" w:themeFill="accent5" w:themeFillTint="66"/>
          </w:tcPr>
          <w:p w14:paraId="69235302" w14:textId="4B6BE0DA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DD385D" w:rsidRPr="00D549E1" w14:paraId="56E26E4E" w14:textId="77777777" w:rsidTr="00A1717A">
        <w:tc>
          <w:tcPr>
            <w:tcW w:w="2600" w:type="dxa"/>
            <w:shd w:val="clear" w:color="auto" w:fill="BDD6EE" w:themeFill="accent5" w:themeFillTint="66"/>
          </w:tcPr>
          <w:p w14:paraId="75FCE6E1" w14:textId="704C56D5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>Independent Health Complaint</w:t>
            </w:r>
            <w:r w:rsidR="00452569" w:rsidRPr="00D549E1">
              <w:rPr>
                <w:sz w:val="24"/>
                <w:szCs w:val="24"/>
              </w:rPr>
              <w:t>s</w:t>
            </w:r>
            <w:r w:rsidRPr="00D549E1">
              <w:rPr>
                <w:sz w:val="24"/>
                <w:szCs w:val="24"/>
              </w:rPr>
              <w:t xml:space="preserve"> Advocacy </w:t>
            </w:r>
          </w:p>
        </w:tc>
        <w:tc>
          <w:tcPr>
            <w:tcW w:w="3632" w:type="dxa"/>
            <w:shd w:val="clear" w:color="auto" w:fill="BDD6EE" w:themeFill="accent5" w:themeFillTint="66"/>
          </w:tcPr>
          <w:p w14:paraId="023249EA" w14:textId="6C893D06" w:rsidR="00DD385D" w:rsidRPr="00D549E1" w:rsidRDefault="00E85743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 xml:space="preserve">Service specification should </w:t>
            </w:r>
            <w:r w:rsidR="00DD385D" w:rsidRPr="00D549E1">
              <w:rPr>
                <w:sz w:val="24"/>
                <w:szCs w:val="24"/>
              </w:rPr>
              <w:t xml:space="preserve">make clear that Healthwatch and IHCA are separate </w:t>
            </w:r>
            <w:r w:rsidRPr="00D549E1">
              <w:rPr>
                <w:sz w:val="24"/>
                <w:szCs w:val="24"/>
              </w:rPr>
              <w:t xml:space="preserve">services </w:t>
            </w:r>
            <w:r w:rsidR="00DD385D" w:rsidRPr="00D549E1">
              <w:rPr>
                <w:sz w:val="24"/>
                <w:szCs w:val="24"/>
              </w:rPr>
              <w:t xml:space="preserve">and that provision of IHCA </w:t>
            </w:r>
            <w:r w:rsidRPr="00D549E1">
              <w:rPr>
                <w:sz w:val="24"/>
                <w:szCs w:val="24"/>
              </w:rPr>
              <w:t>alongside Healthwatch should not i</w:t>
            </w:r>
            <w:r w:rsidR="00DD385D" w:rsidRPr="00D549E1">
              <w:rPr>
                <w:sz w:val="24"/>
                <w:szCs w:val="24"/>
              </w:rPr>
              <w:t xml:space="preserve">nfringe Healthwatch England brand guidance. </w:t>
            </w:r>
          </w:p>
          <w:p w14:paraId="5E4A595E" w14:textId="2D2BFF28" w:rsidR="00DD385D" w:rsidRPr="00D549E1" w:rsidRDefault="008A52F6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>There should also be c</w:t>
            </w:r>
            <w:r w:rsidR="00DD385D" w:rsidRPr="00D549E1">
              <w:rPr>
                <w:sz w:val="24"/>
                <w:szCs w:val="24"/>
              </w:rPr>
              <w:t xml:space="preserve">larity about </w:t>
            </w:r>
            <w:r w:rsidRPr="00D549E1">
              <w:rPr>
                <w:sz w:val="24"/>
                <w:szCs w:val="24"/>
              </w:rPr>
              <w:t xml:space="preserve">funding </w:t>
            </w:r>
            <w:r w:rsidR="00DD385D" w:rsidRPr="00D549E1">
              <w:rPr>
                <w:sz w:val="24"/>
                <w:szCs w:val="24"/>
              </w:rPr>
              <w:t xml:space="preserve">for Healthwatch and IHCA </w:t>
            </w:r>
            <w:r w:rsidR="00DD385D" w:rsidRPr="00D549E1">
              <w:rPr>
                <w:sz w:val="24"/>
                <w:szCs w:val="24"/>
              </w:rPr>
              <w:lastRenderedPageBreak/>
              <w:t xml:space="preserve">to enable providers to meet the requirement to report on finance in their </w:t>
            </w:r>
            <w:r w:rsidR="00E60D57" w:rsidRPr="00D549E1">
              <w:rPr>
                <w:sz w:val="24"/>
                <w:szCs w:val="24"/>
              </w:rPr>
              <w:t xml:space="preserve">Healthwatch </w:t>
            </w:r>
            <w:r w:rsidR="00DD385D" w:rsidRPr="00D549E1">
              <w:rPr>
                <w:sz w:val="24"/>
                <w:szCs w:val="24"/>
              </w:rPr>
              <w:t>annual report.</w:t>
            </w:r>
          </w:p>
        </w:tc>
        <w:tc>
          <w:tcPr>
            <w:tcW w:w="1985" w:type="dxa"/>
            <w:shd w:val="clear" w:color="auto" w:fill="BDD6EE" w:themeFill="accent5" w:themeFillTint="66"/>
          </w:tcPr>
          <w:p w14:paraId="6553504D" w14:textId="7DAF5C11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733" w:type="dxa"/>
            <w:shd w:val="clear" w:color="auto" w:fill="BDD6EE" w:themeFill="accent5" w:themeFillTint="66"/>
          </w:tcPr>
          <w:p w14:paraId="483C930E" w14:textId="77777777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DD385D" w:rsidRPr="00D549E1" w14:paraId="6B2B8A66" w14:textId="77777777" w:rsidTr="00A1717A">
        <w:tc>
          <w:tcPr>
            <w:tcW w:w="2600" w:type="dxa"/>
            <w:shd w:val="clear" w:color="auto" w:fill="BDD6EE" w:themeFill="accent5" w:themeFillTint="66"/>
          </w:tcPr>
          <w:p w14:paraId="47AE8798" w14:textId="77777777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>Transition arrangements</w:t>
            </w:r>
          </w:p>
        </w:tc>
        <w:tc>
          <w:tcPr>
            <w:tcW w:w="3632" w:type="dxa"/>
            <w:shd w:val="clear" w:color="auto" w:fill="BDD6EE" w:themeFill="accent5" w:themeFillTint="66"/>
          </w:tcPr>
          <w:p w14:paraId="0D94A338" w14:textId="7FD8829C" w:rsidR="00DD385D" w:rsidRPr="00D549E1" w:rsidRDefault="00E60D57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 xml:space="preserve">Service specification </w:t>
            </w:r>
            <w:r w:rsidR="00DD385D" w:rsidRPr="00D549E1">
              <w:rPr>
                <w:sz w:val="24"/>
                <w:szCs w:val="24"/>
              </w:rPr>
              <w:t xml:space="preserve">facilitates an effective transition between providers by setting out requirements on the provider at the beginning and the end of a contract. See details in our guide </w:t>
            </w:r>
            <w:hyperlink r:id="rId9" w:history="1">
              <w:r w:rsidR="00DD385D" w:rsidRPr="00D549E1">
                <w:rPr>
                  <w:color w:val="0563C1" w:themeColor="hyperlink"/>
                  <w:sz w:val="24"/>
                  <w:szCs w:val="24"/>
                  <w:u w:val="single"/>
                </w:rPr>
                <w:t>When a Healthwatch changes provider</w:t>
              </w:r>
            </w:hyperlink>
            <w:r w:rsidR="00DD385D" w:rsidRPr="00D549E1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BDD6EE" w:themeFill="accent5" w:themeFillTint="66"/>
          </w:tcPr>
          <w:p w14:paraId="1852E88E" w14:textId="38499CBC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733" w:type="dxa"/>
            <w:shd w:val="clear" w:color="auto" w:fill="BDD6EE" w:themeFill="accent5" w:themeFillTint="66"/>
          </w:tcPr>
          <w:p w14:paraId="3FB057F8" w14:textId="7B0EB129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DD385D" w:rsidRPr="00D549E1" w14:paraId="675E737B" w14:textId="77777777" w:rsidTr="00A1717A">
        <w:tc>
          <w:tcPr>
            <w:tcW w:w="12950" w:type="dxa"/>
            <w:gridSpan w:val="4"/>
            <w:shd w:val="clear" w:color="auto" w:fill="D9E2F3" w:themeFill="accent1" w:themeFillTint="33"/>
          </w:tcPr>
          <w:p w14:paraId="00696BF0" w14:textId="77777777" w:rsidR="00DD385D" w:rsidRPr="00D549E1" w:rsidRDefault="00DD385D" w:rsidP="00DD385D">
            <w:pPr>
              <w:spacing w:before="100" w:after="100"/>
              <w:rPr>
                <w:b/>
                <w:bCs/>
                <w:sz w:val="24"/>
                <w:szCs w:val="24"/>
              </w:rPr>
            </w:pPr>
            <w:r w:rsidRPr="00D549E1">
              <w:rPr>
                <w:b/>
                <w:bCs/>
                <w:sz w:val="24"/>
                <w:szCs w:val="24"/>
              </w:rPr>
              <w:t xml:space="preserve">Quality assurance </w:t>
            </w:r>
          </w:p>
        </w:tc>
      </w:tr>
      <w:tr w:rsidR="00DD385D" w:rsidRPr="00D549E1" w14:paraId="52CD5681" w14:textId="77777777" w:rsidTr="00A1717A">
        <w:tc>
          <w:tcPr>
            <w:tcW w:w="2600" w:type="dxa"/>
            <w:shd w:val="clear" w:color="auto" w:fill="B4C6E7" w:themeFill="accent1" w:themeFillTint="66"/>
          </w:tcPr>
          <w:p w14:paraId="2D8136B7" w14:textId="77777777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>Quality Framework</w:t>
            </w:r>
          </w:p>
        </w:tc>
        <w:tc>
          <w:tcPr>
            <w:tcW w:w="3632" w:type="dxa"/>
            <w:shd w:val="clear" w:color="auto" w:fill="B4C6E7" w:themeFill="accent1" w:themeFillTint="66"/>
          </w:tcPr>
          <w:p w14:paraId="511CC41A" w14:textId="5C2FA23E" w:rsidR="00DD385D" w:rsidRPr="00D549E1" w:rsidRDefault="00FF6F29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>Service specification i</w:t>
            </w:r>
            <w:r w:rsidR="00DD385D" w:rsidRPr="00D549E1">
              <w:rPr>
                <w:sz w:val="24"/>
                <w:szCs w:val="24"/>
              </w:rPr>
              <w:t>ncorporates reference</w:t>
            </w:r>
            <w:r w:rsidR="001979F0">
              <w:rPr>
                <w:sz w:val="24"/>
                <w:szCs w:val="24"/>
              </w:rPr>
              <w:t>s</w:t>
            </w:r>
            <w:r w:rsidR="00DD385D" w:rsidRPr="00D549E1">
              <w:rPr>
                <w:sz w:val="24"/>
                <w:szCs w:val="24"/>
              </w:rPr>
              <w:t xml:space="preserve"> to the use of </w:t>
            </w:r>
            <w:r w:rsidRPr="00D549E1">
              <w:rPr>
                <w:sz w:val="24"/>
                <w:szCs w:val="24"/>
              </w:rPr>
              <w:t xml:space="preserve">the </w:t>
            </w:r>
            <w:r w:rsidR="00DD385D" w:rsidRPr="00D549E1">
              <w:rPr>
                <w:sz w:val="24"/>
                <w:szCs w:val="24"/>
              </w:rPr>
              <w:t>Healthwatch England Quality Framework</w:t>
            </w:r>
            <w:r w:rsidR="001979F0">
              <w:rPr>
                <w:sz w:val="24"/>
                <w:szCs w:val="24"/>
              </w:rPr>
              <w:t xml:space="preserve"> as a self-assessment tool. </w:t>
            </w:r>
            <w:r w:rsidR="00DD385D" w:rsidRPr="00D549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579BE712" w14:textId="76921DF1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733" w:type="dxa"/>
            <w:shd w:val="clear" w:color="auto" w:fill="B4C6E7" w:themeFill="accent1" w:themeFillTint="66"/>
          </w:tcPr>
          <w:p w14:paraId="12FC7E46" w14:textId="77777777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  <w:p w14:paraId="659CFE1C" w14:textId="7FDDB427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DD385D" w:rsidRPr="00D549E1" w14:paraId="0653F9AC" w14:textId="77777777" w:rsidTr="00A1717A">
        <w:tc>
          <w:tcPr>
            <w:tcW w:w="12950" w:type="dxa"/>
            <w:gridSpan w:val="4"/>
            <w:shd w:val="clear" w:color="auto" w:fill="D9E2F3" w:themeFill="accent1" w:themeFillTint="33"/>
          </w:tcPr>
          <w:p w14:paraId="2A7C8701" w14:textId="77777777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b/>
                <w:bCs/>
                <w:sz w:val="24"/>
                <w:szCs w:val="24"/>
              </w:rPr>
              <w:t xml:space="preserve">Measuring impact </w:t>
            </w:r>
          </w:p>
        </w:tc>
      </w:tr>
      <w:tr w:rsidR="00DD385D" w:rsidRPr="00D549E1" w14:paraId="718CB9AF" w14:textId="77777777" w:rsidTr="00A1717A">
        <w:tc>
          <w:tcPr>
            <w:tcW w:w="2600" w:type="dxa"/>
            <w:shd w:val="clear" w:color="auto" w:fill="B4C6E7" w:themeFill="accent1" w:themeFillTint="66"/>
          </w:tcPr>
          <w:p w14:paraId="5E9DF9D3" w14:textId="77777777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 xml:space="preserve">Key performance indicators </w:t>
            </w:r>
          </w:p>
          <w:p w14:paraId="6D85F249" w14:textId="77777777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3632" w:type="dxa"/>
            <w:shd w:val="clear" w:color="auto" w:fill="B4C6E7" w:themeFill="accent1" w:themeFillTint="66"/>
          </w:tcPr>
          <w:p w14:paraId="46ACC42B" w14:textId="723ECB7C" w:rsidR="00DD385D" w:rsidRPr="00D549E1" w:rsidRDefault="008A52F6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 xml:space="preserve">Service specification </w:t>
            </w:r>
            <w:r w:rsidR="00855518" w:rsidRPr="00D549E1">
              <w:rPr>
                <w:sz w:val="24"/>
                <w:szCs w:val="24"/>
              </w:rPr>
              <w:t xml:space="preserve">should describe </w:t>
            </w:r>
            <w:r w:rsidR="00C125AE" w:rsidRPr="00D549E1">
              <w:rPr>
                <w:sz w:val="24"/>
                <w:szCs w:val="24"/>
              </w:rPr>
              <w:t xml:space="preserve">a set of </w:t>
            </w:r>
            <w:r w:rsidR="001979F0" w:rsidRPr="00D549E1">
              <w:rPr>
                <w:sz w:val="24"/>
                <w:szCs w:val="24"/>
              </w:rPr>
              <w:t>outcomes</w:t>
            </w:r>
            <w:r w:rsidR="00C125AE" w:rsidRPr="00D549E1">
              <w:rPr>
                <w:sz w:val="24"/>
                <w:szCs w:val="24"/>
              </w:rPr>
              <w:t xml:space="preserve"> focussed </w:t>
            </w:r>
            <w:r w:rsidR="00855518" w:rsidRPr="00D549E1">
              <w:rPr>
                <w:sz w:val="24"/>
                <w:szCs w:val="24"/>
              </w:rPr>
              <w:t>k</w:t>
            </w:r>
            <w:r w:rsidR="00DD385D" w:rsidRPr="00D549E1">
              <w:rPr>
                <w:sz w:val="24"/>
                <w:szCs w:val="24"/>
              </w:rPr>
              <w:t xml:space="preserve">ey performance indicators which </w:t>
            </w:r>
            <w:r w:rsidR="00C125AE" w:rsidRPr="00D549E1">
              <w:rPr>
                <w:sz w:val="24"/>
                <w:szCs w:val="24"/>
              </w:rPr>
              <w:t xml:space="preserve">will be </w:t>
            </w:r>
            <w:r w:rsidR="00DD385D" w:rsidRPr="00D549E1">
              <w:rPr>
                <w:sz w:val="24"/>
                <w:szCs w:val="24"/>
              </w:rPr>
              <w:t>used to monitor the performance of the contract</w:t>
            </w:r>
            <w:r w:rsidR="002E5DFD" w:rsidRPr="00D549E1">
              <w:rPr>
                <w:sz w:val="24"/>
                <w:szCs w:val="24"/>
              </w:rPr>
              <w:t xml:space="preserve"> </w:t>
            </w:r>
            <w:r w:rsidR="00DD385D" w:rsidRPr="00D549E1">
              <w:rPr>
                <w:sz w:val="24"/>
                <w:szCs w:val="24"/>
              </w:rPr>
              <w:t xml:space="preserve">and place a requirement on </w:t>
            </w:r>
            <w:r w:rsidR="002E5DFD" w:rsidRPr="00D549E1">
              <w:rPr>
                <w:sz w:val="24"/>
                <w:szCs w:val="24"/>
              </w:rPr>
              <w:t>Healthwatch t</w:t>
            </w:r>
            <w:r w:rsidR="00DD385D" w:rsidRPr="00D549E1">
              <w:rPr>
                <w:sz w:val="24"/>
                <w:szCs w:val="24"/>
              </w:rPr>
              <w:t>o report on their</w:t>
            </w:r>
            <w:r w:rsidR="00187F7B" w:rsidRPr="00D549E1">
              <w:rPr>
                <w:sz w:val="24"/>
                <w:szCs w:val="24"/>
              </w:rPr>
              <w:t xml:space="preserve"> outcomes and</w:t>
            </w:r>
            <w:r w:rsidR="00DD385D" w:rsidRPr="00D549E1">
              <w:rPr>
                <w:sz w:val="24"/>
                <w:szCs w:val="24"/>
              </w:rPr>
              <w:t xml:space="preserve"> impact (also to </w:t>
            </w:r>
            <w:r w:rsidR="00DD385D" w:rsidRPr="00D549E1">
              <w:rPr>
                <w:sz w:val="24"/>
                <w:szCs w:val="24"/>
              </w:rPr>
              <w:lastRenderedPageBreak/>
              <w:t>people who have participated in their activity).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6CEE83F4" w14:textId="20BD3E8D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733" w:type="dxa"/>
            <w:shd w:val="clear" w:color="auto" w:fill="B4C6E7" w:themeFill="accent1" w:themeFillTint="66"/>
          </w:tcPr>
          <w:p w14:paraId="7286EC09" w14:textId="77777777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  <w:p w14:paraId="3D1A12C6" w14:textId="77777777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  <w:p w14:paraId="2C4F195C" w14:textId="77777777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DD385D" w:rsidRPr="00D549E1" w14:paraId="59918C7A" w14:textId="77777777" w:rsidTr="00A1717A">
        <w:tc>
          <w:tcPr>
            <w:tcW w:w="12950" w:type="dxa"/>
            <w:gridSpan w:val="4"/>
            <w:shd w:val="clear" w:color="auto" w:fill="D9E2F3" w:themeFill="accent1" w:themeFillTint="33"/>
          </w:tcPr>
          <w:p w14:paraId="3EBC518E" w14:textId="77777777" w:rsidR="00DD385D" w:rsidRPr="00D549E1" w:rsidRDefault="00DD385D" w:rsidP="00DD385D">
            <w:pPr>
              <w:spacing w:before="100" w:after="100"/>
              <w:rPr>
                <w:b/>
                <w:bCs/>
                <w:sz w:val="24"/>
                <w:szCs w:val="24"/>
              </w:rPr>
            </w:pPr>
            <w:r w:rsidRPr="00D549E1">
              <w:rPr>
                <w:b/>
                <w:bCs/>
                <w:sz w:val="24"/>
                <w:szCs w:val="24"/>
              </w:rPr>
              <w:t xml:space="preserve">Collaboration </w:t>
            </w:r>
          </w:p>
        </w:tc>
      </w:tr>
      <w:tr w:rsidR="00DD385D" w:rsidRPr="00D549E1" w14:paraId="317F65EF" w14:textId="77777777" w:rsidTr="00A1717A">
        <w:tc>
          <w:tcPr>
            <w:tcW w:w="2600" w:type="dxa"/>
            <w:shd w:val="clear" w:color="auto" w:fill="B4C6E7" w:themeFill="accent1" w:themeFillTint="66"/>
          </w:tcPr>
          <w:p w14:paraId="3FC700A2" w14:textId="77777777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 xml:space="preserve">Partnership between local Healthwatch and other system actors </w:t>
            </w:r>
          </w:p>
        </w:tc>
        <w:tc>
          <w:tcPr>
            <w:tcW w:w="3632" w:type="dxa"/>
            <w:shd w:val="clear" w:color="auto" w:fill="B4C6E7" w:themeFill="accent1" w:themeFillTint="66"/>
          </w:tcPr>
          <w:p w14:paraId="5070184C" w14:textId="61816443" w:rsidR="00DD385D" w:rsidRPr="00D549E1" w:rsidRDefault="00325928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 xml:space="preserve">The service specification </w:t>
            </w:r>
            <w:r w:rsidR="001C7078" w:rsidRPr="00D549E1">
              <w:rPr>
                <w:sz w:val="24"/>
                <w:szCs w:val="24"/>
              </w:rPr>
              <w:t xml:space="preserve">should </w:t>
            </w:r>
            <w:r w:rsidRPr="00D549E1">
              <w:rPr>
                <w:sz w:val="24"/>
                <w:szCs w:val="24"/>
              </w:rPr>
              <w:t>i</w:t>
            </w:r>
            <w:r w:rsidR="00DD385D" w:rsidRPr="00D549E1">
              <w:rPr>
                <w:sz w:val="24"/>
                <w:szCs w:val="24"/>
              </w:rPr>
              <w:t xml:space="preserve">ncorporate a reference to the need for local Healthwatch to work together at a system wide level e.g. </w:t>
            </w:r>
            <w:r w:rsidR="006F0293" w:rsidRPr="00D549E1">
              <w:rPr>
                <w:sz w:val="24"/>
                <w:szCs w:val="24"/>
              </w:rPr>
              <w:t xml:space="preserve">within </w:t>
            </w:r>
            <w:r w:rsidR="001C7078" w:rsidRPr="00D549E1">
              <w:rPr>
                <w:sz w:val="24"/>
                <w:szCs w:val="24"/>
              </w:rPr>
              <w:t xml:space="preserve">an </w:t>
            </w:r>
            <w:r w:rsidR="00DD385D" w:rsidRPr="00D549E1">
              <w:rPr>
                <w:sz w:val="24"/>
                <w:szCs w:val="24"/>
              </w:rPr>
              <w:t>ICS</w:t>
            </w:r>
            <w:r w:rsidR="006F0293" w:rsidRPr="00D549E1">
              <w:rPr>
                <w:sz w:val="24"/>
                <w:szCs w:val="24"/>
              </w:rPr>
              <w:t xml:space="preserve"> footprint</w:t>
            </w:r>
            <w:r w:rsidRPr="00D549E1">
              <w:rPr>
                <w:sz w:val="24"/>
                <w:szCs w:val="24"/>
              </w:rPr>
              <w:t>.</w:t>
            </w:r>
            <w:r w:rsidR="00DD385D" w:rsidRPr="00D549E1">
              <w:rPr>
                <w:sz w:val="24"/>
                <w:szCs w:val="24"/>
              </w:rPr>
              <w:t xml:space="preserve"> </w:t>
            </w:r>
          </w:p>
          <w:p w14:paraId="77610674" w14:textId="77777777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  <w:p w14:paraId="60419117" w14:textId="6A6ADE73" w:rsidR="00DD385D" w:rsidRPr="00D549E1" w:rsidRDefault="00325928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 xml:space="preserve">The service specification </w:t>
            </w:r>
            <w:r w:rsidR="001C7078" w:rsidRPr="00D549E1">
              <w:rPr>
                <w:sz w:val="24"/>
                <w:szCs w:val="24"/>
              </w:rPr>
              <w:t xml:space="preserve">should </w:t>
            </w:r>
            <w:r w:rsidRPr="00D549E1">
              <w:rPr>
                <w:sz w:val="24"/>
                <w:szCs w:val="24"/>
              </w:rPr>
              <w:t>i</w:t>
            </w:r>
            <w:r w:rsidR="00DD385D" w:rsidRPr="00D549E1">
              <w:rPr>
                <w:sz w:val="24"/>
                <w:szCs w:val="24"/>
              </w:rPr>
              <w:t xml:space="preserve">ncorporate a reference </w:t>
            </w:r>
            <w:r w:rsidR="001C7078" w:rsidRPr="00D549E1">
              <w:rPr>
                <w:sz w:val="24"/>
                <w:szCs w:val="24"/>
              </w:rPr>
              <w:t>to</w:t>
            </w:r>
            <w:r w:rsidR="00DD385D" w:rsidRPr="00D549E1">
              <w:rPr>
                <w:sz w:val="24"/>
                <w:szCs w:val="24"/>
              </w:rPr>
              <w:t xml:space="preserve"> the need to collaborate with VCSE and other PPI groups in the local areas. 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4E68106C" w14:textId="6D8793E9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  <w:p w14:paraId="094ADCC0" w14:textId="77777777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  <w:p w14:paraId="1803593D" w14:textId="77777777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  <w:p w14:paraId="5383486F" w14:textId="77777777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  <w:p w14:paraId="0C6F654B" w14:textId="0EA87BC8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733" w:type="dxa"/>
            <w:shd w:val="clear" w:color="auto" w:fill="B4C6E7" w:themeFill="accent1" w:themeFillTint="66"/>
          </w:tcPr>
          <w:p w14:paraId="288DAE03" w14:textId="3FC1789D" w:rsidR="00573D6E" w:rsidRPr="00D549E1" w:rsidRDefault="00573D6E" w:rsidP="00573D6E">
            <w:pPr>
              <w:spacing w:before="100" w:after="100"/>
              <w:rPr>
                <w:sz w:val="24"/>
                <w:szCs w:val="24"/>
              </w:rPr>
            </w:pPr>
          </w:p>
          <w:p w14:paraId="62B0BE3F" w14:textId="41C3E0A7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DD385D" w:rsidRPr="00D549E1" w14:paraId="63C32D56" w14:textId="77777777" w:rsidTr="00A1717A">
        <w:tc>
          <w:tcPr>
            <w:tcW w:w="2600" w:type="dxa"/>
            <w:shd w:val="clear" w:color="auto" w:fill="B4C6E7" w:themeFill="accent1" w:themeFillTint="66"/>
          </w:tcPr>
          <w:p w14:paraId="7F763CA4" w14:textId="77777777" w:rsidR="00DD385D" w:rsidRPr="00D549E1" w:rsidRDefault="00DD385D" w:rsidP="00DD385D">
            <w:pPr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>Data sharing</w:t>
            </w:r>
          </w:p>
          <w:p w14:paraId="76014FF8" w14:textId="77777777" w:rsidR="00DD385D" w:rsidRPr="00D549E1" w:rsidRDefault="00DD385D" w:rsidP="00DD385D">
            <w:pPr>
              <w:rPr>
                <w:sz w:val="24"/>
                <w:szCs w:val="24"/>
              </w:rPr>
            </w:pPr>
          </w:p>
        </w:tc>
        <w:tc>
          <w:tcPr>
            <w:tcW w:w="3632" w:type="dxa"/>
            <w:shd w:val="clear" w:color="auto" w:fill="B4C6E7" w:themeFill="accent1" w:themeFillTint="66"/>
          </w:tcPr>
          <w:p w14:paraId="2B65C89E" w14:textId="4A33E5A2" w:rsidR="00DD385D" w:rsidRDefault="00C6154E" w:rsidP="00DD385D">
            <w:pPr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 xml:space="preserve">Service specification </w:t>
            </w:r>
            <w:r w:rsidR="001C7078" w:rsidRPr="00D549E1">
              <w:rPr>
                <w:sz w:val="24"/>
                <w:szCs w:val="24"/>
              </w:rPr>
              <w:t xml:space="preserve">should </w:t>
            </w:r>
            <w:r w:rsidRPr="00D549E1">
              <w:rPr>
                <w:sz w:val="24"/>
                <w:szCs w:val="24"/>
              </w:rPr>
              <w:t xml:space="preserve">stipulate that the </w:t>
            </w:r>
            <w:r w:rsidR="00DD385D" w:rsidRPr="00D549E1">
              <w:rPr>
                <w:sz w:val="24"/>
                <w:szCs w:val="24"/>
              </w:rPr>
              <w:t xml:space="preserve">Healthwatch provider </w:t>
            </w:r>
            <w:r w:rsidR="001C7078" w:rsidRPr="00D549E1">
              <w:rPr>
                <w:sz w:val="24"/>
                <w:szCs w:val="24"/>
              </w:rPr>
              <w:t xml:space="preserve">will </w:t>
            </w:r>
            <w:r w:rsidR="00DD385D" w:rsidRPr="00D549E1">
              <w:rPr>
                <w:sz w:val="24"/>
                <w:szCs w:val="24"/>
              </w:rPr>
              <w:t>make provision to be able to incorporate HWE’s data taxonomy and share its data with HWE under data sharing agreement</w:t>
            </w:r>
            <w:r w:rsidR="006F0293" w:rsidRPr="00D549E1">
              <w:rPr>
                <w:sz w:val="24"/>
                <w:szCs w:val="24"/>
              </w:rPr>
              <w:t>.</w:t>
            </w:r>
          </w:p>
          <w:p w14:paraId="1E16D130" w14:textId="77777777" w:rsidR="00BC3E4F" w:rsidRDefault="00BC3E4F" w:rsidP="00DD385D">
            <w:pPr>
              <w:rPr>
                <w:sz w:val="24"/>
                <w:szCs w:val="24"/>
              </w:rPr>
            </w:pPr>
          </w:p>
          <w:p w14:paraId="4E2ADC27" w14:textId="77777777" w:rsidR="00BC3E4F" w:rsidRDefault="00BC3E4F" w:rsidP="00DD385D">
            <w:pPr>
              <w:rPr>
                <w:sz w:val="24"/>
                <w:szCs w:val="24"/>
              </w:rPr>
            </w:pPr>
          </w:p>
          <w:p w14:paraId="5E0353A8" w14:textId="77777777" w:rsidR="00BC3E4F" w:rsidRPr="00D549E1" w:rsidRDefault="00BC3E4F" w:rsidP="00DD385D">
            <w:pPr>
              <w:rPr>
                <w:sz w:val="24"/>
                <w:szCs w:val="24"/>
              </w:rPr>
            </w:pPr>
          </w:p>
          <w:p w14:paraId="7ACE220C" w14:textId="77777777" w:rsidR="00DD385D" w:rsidRPr="00D549E1" w:rsidRDefault="00DD385D" w:rsidP="00DD385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4C6E7" w:themeFill="accent1" w:themeFillTint="66"/>
          </w:tcPr>
          <w:p w14:paraId="50FD1F98" w14:textId="05784713" w:rsidR="00DD385D" w:rsidRPr="00D549E1" w:rsidRDefault="00DD385D" w:rsidP="00DD385D">
            <w:pPr>
              <w:rPr>
                <w:sz w:val="24"/>
                <w:szCs w:val="24"/>
              </w:rPr>
            </w:pPr>
          </w:p>
        </w:tc>
        <w:tc>
          <w:tcPr>
            <w:tcW w:w="4733" w:type="dxa"/>
            <w:shd w:val="clear" w:color="auto" w:fill="B4C6E7" w:themeFill="accent1" w:themeFillTint="66"/>
          </w:tcPr>
          <w:p w14:paraId="57F16BD8" w14:textId="02DA7A34" w:rsidR="00DD385D" w:rsidRPr="00D549E1" w:rsidRDefault="00DD385D" w:rsidP="00DD385D">
            <w:pPr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 xml:space="preserve"> </w:t>
            </w:r>
          </w:p>
        </w:tc>
      </w:tr>
      <w:tr w:rsidR="00DD385D" w:rsidRPr="00D549E1" w14:paraId="4605C8C2" w14:textId="77777777" w:rsidTr="00A1717A">
        <w:tc>
          <w:tcPr>
            <w:tcW w:w="12950" w:type="dxa"/>
            <w:gridSpan w:val="4"/>
            <w:shd w:val="clear" w:color="auto" w:fill="D9E2F3" w:themeFill="accent1" w:themeFillTint="33"/>
          </w:tcPr>
          <w:p w14:paraId="51AF1D59" w14:textId="77777777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b/>
                <w:sz w:val="24"/>
                <w:szCs w:val="24"/>
              </w:rPr>
              <w:t>Equality, Diversity and Inclusion</w:t>
            </w:r>
            <w:r w:rsidRPr="00D549E1">
              <w:rPr>
                <w:sz w:val="24"/>
                <w:szCs w:val="24"/>
              </w:rPr>
              <w:t xml:space="preserve"> </w:t>
            </w:r>
          </w:p>
        </w:tc>
      </w:tr>
      <w:tr w:rsidR="00DD385D" w:rsidRPr="00D549E1" w14:paraId="721F48AE" w14:textId="77777777" w:rsidTr="00A1717A">
        <w:tc>
          <w:tcPr>
            <w:tcW w:w="2600" w:type="dxa"/>
            <w:shd w:val="clear" w:color="auto" w:fill="B4C6E7" w:themeFill="accent1" w:themeFillTint="66"/>
          </w:tcPr>
          <w:p w14:paraId="66F383C1" w14:textId="77777777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>Monitoring and accountability for EDI</w:t>
            </w:r>
          </w:p>
        </w:tc>
        <w:tc>
          <w:tcPr>
            <w:tcW w:w="3632" w:type="dxa"/>
            <w:shd w:val="clear" w:color="auto" w:fill="B4C6E7" w:themeFill="accent1" w:themeFillTint="66"/>
          </w:tcPr>
          <w:p w14:paraId="271275AE" w14:textId="0143DE3F" w:rsidR="00DD385D" w:rsidRPr="00D549E1" w:rsidRDefault="001B0A60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>Service specification</w:t>
            </w:r>
            <w:r w:rsidR="001C7078" w:rsidRPr="00D549E1">
              <w:rPr>
                <w:sz w:val="24"/>
                <w:szCs w:val="24"/>
              </w:rPr>
              <w:t xml:space="preserve"> </w:t>
            </w:r>
            <w:proofErr w:type="gramStart"/>
            <w:r w:rsidR="001C7078" w:rsidRPr="00D549E1">
              <w:rPr>
                <w:sz w:val="24"/>
                <w:szCs w:val="24"/>
              </w:rPr>
              <w:t xml:space="preserve">should </w:t>
            </w:r>
            <w:r w:rsidRPr="00D549E1">
              <w:rPr>
                <w:sz w:val="24"/>
                <w:szCs w:val="24"/>
              </w:rPr>
              <w:t xml:space="preserve"> i</w:t>
            </w:r>
            <w:r w:rsidR="00DD385D" w:rsidRPr="00D549E1">
              <w:rPr>
                <w:sz w:val="24"/>
                <w:szCs w:val="24"/>
              </w:rPr>
              <w:t>ncorporate</w:t>
            </w:r>
            <w:proofErr w:type="gramEnd"/>
            <w:r w:rsidR="00DD385D" w:rsidRPr="00D549E1">
              <w:rPr>
                <w:sz w:val="24"/>
                <w:szCs w:val="24"/>
              </w:rPr>
              <w:t xml:space="preserve"> a requirement to gather and report on the </w:t>
            </w:r>
            <w:r w:rsidR="00DD385D" w:rsidRPr="00D549E1">
              <w:rPr>
                <w:sz w:val="24"/>
                <w:szCs w:val="24"/>
              </w:rPr>
              <w:lastRenderedPageBreak/>
              <w:t xml:space="preserve">demographic characteristics of </w:t>
            </w:r>
            <w:r w:rsidR="00AC3FAE">
              <w:rPr>
                <w:sz w:val="24"/>
                <w:szCs w:val="24"/>
              </w:rPr>
              <w:t>b</w:t>
            </w:r>
            <w:r w:rsidR="00DD385D" w:rsidRPr="00D549E1">
              <w:rPr>
                <w:sz w:val="24"/>
                <w:szCs w:val="24"/>
              </w:rPr>
              <w:t xml:space="preserve">oard, </w:t>
            </w:r>
            <w:r w:rsidR="00AC3FAE">
              <w:rPr>
                <w:sz w:val="24"/>
                <w:szCs w:val="24"/>
              </w:rPr>
              <w:t>s</w:t>
            </w:r>
            <w:r w:rsidR="00DD385D" w:rsidRPr="00D549E1">
              <w:rPr>
                <w:sz w:val="24"/>
                <w:szCs w:val="24"/>
              </w:rPr>
              <w:t xml:space="preserve">taff, </w:t>
            </w:r>
            <w:r w:rsidR="00AC3FAE">
              <w:rPr>
                <w:sz w:val="24"/>
                <w:szCs w:val="24"/>
              </w:rPr>
              <w:t>v</w:t>
            </w:r>
            <w:r w:rsidR="00DD385D" w:rsidRPr="00D549E1">
              <w:rPr>
                <w:sz w:val="24"/>
                <w:szCs w:val="24"/>
              </w:rPr>
              <w:t xml:space="preserve">olunteers and people who local Healthwatch engage during their activities. </w:t>
            </w:r>
          </w:p>
          <w:p w14:paraId="0A3963A3" w14:textId="77777777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  <w:p w14:paraId="56B02C5F" w14:textId="69AB0375" w:rsidR="00DD385D" w:rsidRPr="00D549E1" w:rsidRDefault="001B0A60" w:rsidP="00DD385D">
            <w:pPr>
              <w:spacing w:before="100" w:after="100"/>
              <w:rPr>
                <w:sz w:val="24"/>
                <w:szCs w:val="24"/>
              </w:rPr>
            </w:pPr>
            <w:r w:rsidRPr="00D549E1">
              <w:rPr>
                <w:sz w:val="24"/>
                <w:szCs w:val="24"/>
              </w:rPr>
              <w:t xml:space="preserve">Service specification </w:t>
            </w:r>
            <w:r w:rsidR="001C7078" w:rsidRPr="00D549E1">
              <w:rPr>
                <w:sz w:val="24"/>
                <w:szCs w:val="24"/>
              </w:rPr>
              <w:t xml:space="preserve">should </w:t>
            </w:r>
            <w:r w:rsidRPr="00D549E1">
              <w:rPr>
                <w:sz w:val="24"/>
                <w:szCs w:val="24"/>
              </w:rPr>
              <w:t>i</w:t>
            </w:r>
            <w:r w:rsidR="00DD385D" w:rsidRPr="00D549E1">
              <w:rPr>
                <w:sz w:val="24"/>
                <w:szCs w:val="24"/>
              </w:rPr>
              <w:t xml:space="preserve">ncorporate a requirement to carry out equality impact assessments during planning of significant activity and for governance oversight of </w:t>
            </w:r>
            <w:r w:rsidR="0088111F" w:rsidRPr="00D549E1">
              <w:rPr>
                <w:sz w:val="24"/>
                <w:szCs w:val="24"/>
              </w:rPr>
              <w:t>mitigating</w:t>
            </w:r>
            <w:r w:rsidR="00DD385D" w:rsidRPr="00D549E1">
              <w:rPr>
                <w:sz w:val="24"/>
                <w:szCs w:val="24"/>
              </w:rPr>
              <w:t xml:space="preserve"> action. 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3FA30F47" w14:textId="408F92D0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  <w:p w14:paraId="6D8DFDAB" w14:textId="77777777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  <w:p w14:paraId="7B497204" w14:textId="77777777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  <w:p w14:paraId="4BA80F0B" w14:textId="77777777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  <w:p w14:paraId="09560220" w14:textId="77777777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  <w:p w14:paraId="5A5E9697" w14:textId="31809CF8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733" w:type="dxa"/>
            <w:shd w:val="clear" w:color="auto" w:fill="B4C6E7" w:themeFill="accent1" w:themeFillTint="66"/>
          </w:tcPr>
          <w:p w14:paraId="79C41324" w14:textId="77777777" w:rsidR="00DD385D" w:rsidRPr="00D549E1" w:rsidRDefault="00DD385D" w:rsidP="00DD385D">
            <w:pPr>
              <w:spacing w:before="100" w:after="100"/>
              <w:rPr>
                <w:sz w:val="24"/>
                <w:szCs w:val="24"/>
              </w:rPr>
            </w:pPr>
          </w:p>
        </w:tc>
      </w:tr>
    </w:tbl>
    <w:p w14:paraId="7B670E23" w14:textId="77777777" w:rsidR="00DD385D" w:rsidRPr="00D549E1" w:rsidRDefault="00DD385D" w:rsidP="00DD385D">
      <w:pPr>
        <w:jc w:val="center"/>
        <w:rPr>
          <w:sz w:val="24"/>
          <w:szCs w:val="24"/>
        </w:rPr>
      </w:pPr>
    </w:p>
    <w:p w14:paraId="18FE6F62" w14:textId="77777777" w:rsidR="00E11D6F" w:rsidRPr="00D549E1" w:rsidRDefault="00E11D6F">
      <w:pPr>
        <w:rPr>
          <w:sz w:val="24"/>
          <w:szCs w:val="24"/>
        </w:rPr>
      </w:pPr>
    </w:p>
    <w:sectPr w:rsidR="00E11D6F" w:rsidRPr="00D549E1" w:rsidSect="00D241B2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93E40" w14:textId="77777777" w:rsidR="00F8626F" w:rsidRDefault="00F8626F" w:rsidP="00DD385D">
      <w:pPr>
        <w:spacing w:after="0" w:line="240" w:lineRule="auto"/>
      </w:pPr>
      <w:r>
        <w:separator/>
      </w:r>
    </w:p>
  </w:endnote>
  <w:endnote w:type="continuationSeparator" w:id="0">
    <w:p w14:paraId="671D4177" w14:textId="77777777" w:rsidR="00F8626F" w:rsidRDefault="00F8626F" w:rsidP="00DD385D">
      <w:pPr>
        <w:spacing w:after="0" w:line="240" w:lineRule="auto"/>
      </w:pPr>
      <w:r>
        <w:continuationSeparator/>
      </w:r>
    </w:p>
  </w:endnote>
  <w:endnote w:type="continuationNotice" w:id="1">
    <w:p w14:paraId="160F2792" w14:textId="77777777" w:rsidR="00F8626F" w:rsidRDefault="00F862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10419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66F199" w14:textId="77777777" w:rsidR="006A51E5" w:rsidRDefault="00730E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4F4C1A" w14:textId="77777777" w:rsidR="006A51E5" w:rsidRDefault="006A51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19071" w14:textId="77777777" w:rsidR="00F8626F" w:rsidRDefault="00F8626F" w:rsidP="00DD385D">
      <w:pPr>
        <w:spacing w:after="0" w:line="240" w:lineRule="auto"/>
      </w:pPr>
      <w:r>
        <w:separator/>
      </w:r>
    </w:p>
  </w:footnote>
  <w:footnote w:type="continuationSeparator" w:id="0">
    <w:p w14:paraId="61A33F4E" w14:textId="77777777" w:rsidR="00F8626F" w:rsidRDefault="00F8626F" w:rsidP="00DD385D">
      <w:pPr>
        <w:spacing w:after="0" w:line="240" w:lineRule="auto"/>
      </w:pPr>
      <w:r>
        <w:continuationSeparator/>
      </w:r>
    </w:p>
  </w:footnote>
  <w:footnote w:type="continuationNotice" w:id="1">
    <w:p w14:paraId="4A4E04CF" w14:textId="77777777" w:rsidR="00F8626F" w:rsidRDefault="00F8626F">
      <w:pPr>
        <w:spacing w:after="0" w:line="240" w:lineRule="auto"/>
      </w:pPr>
    </w:p>
  </w:footnote>
  <w:footnote w:id="2">
    <w:p w14:paraId="11E954CD" w14:textId="77777777" w:rsidR="00DD385D" w:rsidRDefault="00DD385D" w:rsidP="00DD38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>
        <w:r>
          <w:t>Section 149 Equality Act 200</w:t>
        </w:r>
      </w:hyperlink>
      <w:hyperlink r:id="rId2">
        <w:r>
          <w:t>0</w:t>
        </w:r>
      </w:hyperlink>
      <w:hyperlink r:id="rId3">
        <w:r>
          <w:rPr>
            <w:color w:val="004C6A"/>
            <w:u w:color="000000"/>
          </w:rPr>
          <w:t>;</w:t>
        </w:r>
      </w:hyperlink>
      <w:r>
        <w:rPr>
          <w:color w:val="004C6A"/>
          <w:u w:color="000000"/>
        </w:rPr>
        <w:t xml:space="preserve"> </w:t>
      </w:r>
      <w:hyperlink r:id="rId4">
        <w:r>
          <w:t>Section 6 Human Rights Act 1998</w:t>
        </w:r>
      </w:hyperlink>
      <w:hyperlink r:id="rId5">
        <w:r>
          <w:rPr>
            <w:color w:val="004C6A"/>
            <w:u w:color="000000"/>
          </w:rPr>
          <w:t xml:space="preserve"> 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4A4B"/>
    <w:multiLevelType w:val="multilevel"/>
    <w:tmpl w:val="A6F4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2316CF"/>
    <w:multiLevelType w:val="hybridMultilevel"/>
    <w:tmpl w:val="4C4C7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F77C3"/>
    <w:multiLevelType w:val="hybridMultilevel"/>
    <w:tmpl w:val="9C24A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404929">
    <w:abstractNumId w:val="2"/>
  </w:num>
  <w:num w:numId="2" w16cid:durableId="1280989721">
    <w:abstractNumId w:val="0"/>
  </w:num>
  <w:num w:numId="3" w16cid:durableId="1476407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5D"/>
    <w:rsid w:val="00004817"/>
    <w:rsid w:val="0003209F"/>
    <w:rsid w:val="00040DAA"/>
    <w:rsid w:val="000A5805"/>
    <w:rsid w:val="000C03FB"/>
    <w:rsid w:val="000F56BD"/>
    <w:rsid w:val="000F7DCD"/>
    <w:rsid w:val="00104A2F"/>
    <w:rsid w:val="00116E94"/>
    <w:rsid w:val="00122495"/>
    <w:rsid w:val="00187F7B"/>
    <w:rsid w:val="001979F0"/>
    <w:rsid w:val="001B0A60"/>
    <w:rsid w:val="001C7078"/>
    <w:rsid w:val="001D2F5A"/>
    <w:rsid w:val="001D38D0"/>
    <w:rsid w:val="001E3E4F"/>
    <w:rsid w:val="00203F86"/>
    <w:rsid w:val="00211CBB"/>
    <w:rsid w:val="00256103"/>
    <w:rsid w:val="00276996"/>
    <w:rsid w:val="002954A6"/>
    <w:rsid w:val="002A4B5E"/>
    <w:rsid w:val="002C180E"/>
    <w:rsid w:val="002E3AE1"/>
    <w:rsid w:val="002E5DFD"/>
    <w:rsid w:val="003075BA"/>
    <w:rsid w:val="00325928"/>
    <w:rsid w:val="00340167"/>
    <w:rsid w:val="00342DAE"/>
    <w:rsid w:val="00353226"/>
    <w:rsid w:val="00386165"/>
    <w:rsid w:val="003A2B58"/>
    <w:rsid w:val="003E054D"/>
    <w:rsid w:val="003E6A9F"/>
    <w:rsid w:val="00440041"/>
    <w:rsid w:val="00452569"/>
    <w:rsid w:val="00453F39"/>
    <w:rsid w:val="004620A5"/>
    <w:rsid w:val="004846B8"/>
    <w:rsid w:val="00557D01"/>
    <w:rsid w:val="00573B36"/>
    <w:rsid w:val="00573D6E"/>
    <w:rsid w:val="00590822"/>
    <w:rsid w:val="005908C2"/>
    <w:rsid w:val="00594500"/>
    <w:rsid w:val="005B7918"/>
    <w:rsid w:val="006638FF"/>
    <w:rsid w:val="0068637C"/>
    <w:rsid w:val="006A441C"/>
    <w:rsid w:val="006A51E5"/>
    <w:rsid w:val="006A7BAE"/>
    <w:rsid w:val="006C04B5"/>
    <w:rsid w:val="006D1B4A"/>
    <w:rsid w:val="006D324C"/>
    <w:rsid w:val="006D4B01"/>
    <w:rsid w:val="006D5511"/>
    <w:rsid w:val="006E7631"/>
    <w:rsid w:val="006F0293"/>
    <w:rsid w:val="00702B5A"/>
    <w:rsid w:val="00730E74"/>
    <w:rsid w:val="00734EBC"/>
    <w:rsid w:val="00766C05"/>
    <w:rsid w:val="00790599"/>
    <w:rsid w:val="007C6C12"/>
    <w:rsid w:val="007D6CFF"/>
    <w:rsid w:val="007E1EDC"/>
    <w:rsid w:val="007E7EAB"/>
    <w:rsid w:val="00801111"/>
    <w:rsid w:val="00804632"/>
    <w:rsid w:val="00816318"/>
    <w:rsid w:val="00820CC6"/>
    <w:rsid w:val="008349A0"/>
    <w:rsid w:val="00855518"/>
    <w:rsid w:val="008557D1"/>
    <w:rsid w:val="00866BDC"/>
    <w:rsid w:val="0088111F"/>
    <w:rsid w:val="008823E4"/>
    <w:rsid w:val="0089380A"/>
    <w:rsid w:val="008954A2"/>
    <w:rsid w:val="00896F53"/>
    <w:rsid w:val="008A52F6"/>
    <w:rsid w:val="008D0B9C"/>
    <w:rsid w:val="00943972"/>
    <w:rsid w:val="00951B9B"/>
    <w:rsid w:val="00980171"/>
    <w:rsid w:val="00980654"/>
    <w:rsid w:val="00A15816"/>
    <w:rsid w:val="00AA38D7"/>
    <w:rsid w:val="00AB22F5"/>
    <w:rsid w:val="00AB493B"/>
    <w:rsid w:val="00AC3FAE"/>
    <w:rsid w:val="00AC5FFA"/>
    <w:rsid w:val="00AE1051"/>
    <w:rsid w:val="00AE226D"/>
    <w:rsid w:val="00AE4A49"/>
    <w:rsid w:val="00B12C87"/>
    <w:rsid w:val="00B3297F"/>
    <w:rsid w:val="00B41C0E"/>
    <w:rsid w:val="00B64B03"/>
    <w:rsid w:val="00B83893"/>
    <w:rsid w:val="00B90376"/>
    <w:rsid w:val="00BA470A"/>
    <w:rsid w:val="00BB20BB"/>
    <w:rsid w:val="00BB2E0F"/>
    <w:rsid w:val="00BC3E4F"/>
    <w:rsid w:val="00BE5549"/>
    <w:rsid w:val="00BE7956"/>
    <w:rsid w:val="00C03EFC"/>
    <w:rsid w:val="00C125AE"/>
    <w:rsid w:val="00C17395"/>
    <w:rsid w:val="00C23B75"/>
    <w:rsid w:val="00C36D87"/>
    <w:rsid w:val="00C6154E"/>
    <w:rsid w:val="00C6667C"/>
    <w:rsid w:val="00C937F0"/>
    <w:rsid w:val="00CA3FB8"/>
    <w:rsid w:val="00D00ABA"/>
    <w:rsid w:val="00D07632"/>
    <w:rsid w:val="00D15895"/>
    <w:rsid w:val="00D26DD4"/>
    <w:rsid w:val="00D549E1"/>
    <w:rsid w:val="00D979C8"/>
    <w:rsid w:val="00DA7FBC"/>
    <w:rsid w:val="00DD385D"/>
    <w:rsid w:val="00DF0A9D"/>
    <w:rsid w:val="00E05493"/>
    <w:rsid w:val="00E11D6F"/>
    <w:rsid w:val="00E60D57"/>
    <w:rsid w:val="00E85743"/>
    <w:rsid w:val="00EC7BA9"/>
    <w:rsid w:val="00ED77FA"/>
    <w:rsid w:val="00F034F4"/>
    <w:rsid w:val="00F13E8F"/>
    <w:rsid w:val="00F2177E"/>
    <w:rsid w:val="00F34707"/>
    <w:rsid w:val="00F7157D"/>
    <w:rsid w:val="00F747AE"/>
    <w:rsid w:val="00F83B2C"/>
    <w:rsid w:val="00F8626F"/>
    <w:rsid w:val="00FA42D3"/>
    <w:rsid w:val="00FE3FF7"/>
    <w:rsid w:val="00FF6F29"/>
    <w:rsid w:val="00FF6FA1"/>
    <w:rsid w:val="0306BE83"/>
    <w:rsid w:val="08805928"/>
    <w:rsid w:val="0A7611BE"/>
    <w:rsid w:val="0B67BDEC"/>
    <w:rsid w:val="0EEEC0F5"/>
    <w:rsid w:val="1237C367"/>
    <w:rsid w:val="131DBC83"/>
    <w:rsid w:val="199E2B79"/>
    <w:rsid w:val="1D388E8E"/>
    <w:rsid w:val="1E6BE114"/>
    <w:rsid w:val="22C31D59"/>
    <w:rsid w:val="4BD8A3FA"/>
    <w:rsid w:val="5E4E2206"/>
    <w:rsid w:val="63E495AE"/>
    <w:rsid w:val="708319ED"/>
    <w:rsid w:val="7176C9F7"/>
    <w:rsid w:val="73EB2464"/>
    <w:rsid w:val="7790D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E0D0E"/>
  <w15:chartTrackingRefBased/>
  <w15:docId w15:val="{4665C0E7-E300-4B57-A5AB-0D2A0C67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D38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385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D3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85D"/>
  </w:style>
  <w:style w:type="table" w:styleId="TableGrid">
    <w:name w:val="Table Grid"/>
    <w:basedOn w:val="TableNormal"/>
    <w:uiPriority w:val="39"/>
    <w:rsid w:val="00DD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unhideWhenUsed/>
    <w:rsid w:val="00DD385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D3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85D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85D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8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15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895"/>
  </w:style>
  <w:style w:type="character" w:styleId="Hyperlink">
    <w:name w:val="Hyperlink"/>
    <w:basedOn w:val="DefaultParagraphFont"/>
    <w:uiPriority w:val="99"/>
    <w:unhideWhenUsed/>
    <w:rsid w:val="009439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39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549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23B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3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work.healthwatch.co.uk/values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network.healthwatch.co.uk/guidance/2020-02-12/guide-running-healthwat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etwork.healthwatch.co.uk/guidance/2020-05-04/what-to-do-when-healthwatch-changes-provider" TargetMode="External"/><Relationship Id="rId14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gislation.gov.uk/ukpga/2010/15/section/149" TargetMode="External"/><Relationship Id="rId2" Type="http://schemas.openxmlformats.org/officeDocument/2006/relationships/hyperlink" Target="http://www.legislation.gov.uk/ukpga/2010/15/section/149" TargetMode="External"/><Relationship Id="rId1" Type="http://schemas.openxmlformats.org/officeDocument/2006/relationships/hyperlink" Target="http://www.legislation.gov.uk/ukpga/2010/15/section/149" TargetMode="External"/><Relationship Id="rId5" Type="http://schemas.openxmlformats.org/officeDocument/2006/relationships/hyperlink" Target="http://www.legislation.gov.uk/ukpga/1998/42/section/6" TargetMode="External"/><Relationship Id="rId4" Type="http://schemas.openxmlformats.org/officeDocument/2006/relationships/hyperlink" Target="http://www.legislation.gov.uk/ukpga/1998/42/section/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18" ma:contentTypeDescription="Create a new document." ma:contentTypeScope="" ma:versionID="4963941ee70edd4bf9e5e3609cf630ec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fd4fba8729ed5bc2118ea5ba9b82df3f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ea0902-9823-4d82-a2bf-fd4c8fe457bd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7441b-d3fe-4788-8629-aff52d38f515">
      <Terms xmlns="http://schemas.microsoft.com/office/infopath/2007/PartnerControls"/>
    </lcf76f155ced4ddcb4097134ff3c332f>
    <TaxCatchAll xmlns="1d162527-c308-4a98-98b8-9e726c57dd8b" xsi:nil="true"/>
  </documentManagement>
</p:properties>
</file>

<file path=customXml/itemProps1.xml><?xml version="1.0" encoding="utf-8"?>
<ds:datastoreItem xmlns:ds="http://schemas.openxmlformats.org/officeDocument/2006/customXml" ds:itemID="{4BBE9825-F74F-4F20-962B-D22635AEC696}"/>
</file>

<file path=customXml/itemProps2.xml><?xml version="1.0" encoding="utf-8"?>
<ds:datastoreItem xmlns:ds="http://schemas.openxmlformats.org/officeDocument/2006/customXml" ds:itemID="{0505DF0A-6C60-4313-95DE-AE85C3E5A78E}"/>
</file>

<file path=customXml/itemProps3.xml><?xml version="1.0" encoding="utf-8"?>
<ds:datastoreItem xmlns:ds="http://schemas.openxmlformats.org/officeDocument/2006/customXml" ds:itemID="{61AC0FC3-4C7E-4F8D-833A-02E448BAED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Olly Grice</dc:creator>
  <cp:keywords/>
  <dc:description/>
  <cp:lastModifiedBy>Chris Gorman</cp:lastModifiedBy>
  <cp:revision>2</cp:revision>
  <dcterms:created xsi:type="dcterms:W3CDTF">2025-06-09T14:43:00Z</dcterms:created>
  <dcterms:modified xsi:type="dcterms:W3CDTF">2025-06-09T14:43:00Z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0x010100480EA4E9A0D10A4B86B174D08978D5EB</vt:lpwstr>
  </property>
</Properties>
</file>