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0F415FDD" w14:textId="77777777" w:rsidTr="00E33F1F">
        <w:trPr>
          <w:cantSplit/>
          <w:trHeight w:hRule="exact" w:val="8222"/>
        </w:trPr>
        <w:tc>
          <w:tcPr>
            <w:tcW w:w="10360" w:type="dxa"/>
            <w:gridSpan w:val="2"/>
          </w:tcPr>
          <w:p w14:paraId="74EC32A6" w14:textId="43CA8072" w:rsidR="003F137B" w:rsidRPr="00CC76F6" w:rsidRDefault="003F137B" w:rsidP="00E33F1F">
            <w:pPr>
              <w:pStyle w:val="HWMainTitle1"/>
              <w:rPr>
                <w:sz w:val="72"/>
                <w:szCs w:val="72"/>
              </w:rPr>
            </w:pPr>
            <w:bookmarkStart w:id="0" w:name="HW_title"/>
            <w:r w:rsidRPr="00CC76F6">
              <w:rPr>
                <w:noProof/>
                <w:sz w:val="72"/>
                <w:szCs w:val="72"/>
              </w:rPr>
              <mc:AlternateContent>
                <mc:Choice Requires="wps">
                  <w:drawing>
                    <wp:anchor distT="0" distB="0" distL="114300" distR="114300" simplePos="0" relativeHeight="251662336" behindDoc="1" locked="1" layoutInCell="1" allowOverlap="1" wp14:anchorId="22A5B09E" wp14:editId="20118C3F">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58221" id="Rectangle 3" o:spid="_x0000_s1026" style="position:absolute;margin-left:-38.05pt;margin-top:-1.05pt;width:595.55pt;height:54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r w:rsidR="00CC76F6" w:rsidRPr="00CC76F6">
              <w:rPr>
                <w:sz w:val="72"/>
                <w:szCs w:val="72"/>
              </w:rPr>
              <w:t>Working with partners and ma</w:t>
            </w:r>
            <w:r w:rsidR="00CC76F6">
              <w:rPr>
                <w:sz w:val="72"/>
                <w:szCs w:val="72"/>
              </w:rPr>
              <w:t>intaining Healthwatch independence</w:t>
            </w:r>
            <w:bookmarkEnd w:id="0"/>
          </w:p>
          <w:p w14:paraId="245FEE30" w14:textId="7B80A487" w:rsidR="003F137B" w:rsidRPr="00CF341D" w:rsidRDefault="00CC76F6" w:rsidP="000321D0">
            <w:pPr>
              <w:pStyle w:val="HWMainTitle2"/>
            </w:pPr>
            <w:r>
              <w:t>Updated J</w:t>
            </w:r>
            <w:r w:rsidR="005C2592">
              <w:t>anuary 2026</w:t>
            </w:r>
            <w:r w:rsidR="003F137B" w:rsidRPr="00CF341D">
              <w:t xml:space="preserve"> </w:t>
            </w:r>
          </w:p>
        </w:tc>
      </w:tr>
      <w:tr w:rsidR="003F137B" w:rsidRPr="00762252" w14:paraId="6500FD62" w14:textId="77777777" w:rsidTr="00E33F1F">
        <w:trPr>
          <w:gridAfter w:val="1"/>
          <w:wAfter w:w="4723" w:type="dxa"/>
          <w:cantSplit/>
          <w:trHeight w:hRule="exact" w:val="57"/>
        </w:trPr>
        <w:tc>
          <w:tcPr>
            <w:tcW w:w="5615" w:type="dxa"/>
          </w:tcPr>
          <w:p w14:paraId="5A074C25" w14:textId="77777777" w:rsidR="003F137B" w:rsidRPr="00762252" w:rsidRDefault="00055C89" w:rsidP="00E33F1F">
            <w:pPr>
              <w:pStyle w:val="HWMainTitle2"/>
            </w:pPr>
            <w:r w:rsidRPr="00D95CF1">
              <w:rPr>
                <w:noProof/>
                <w:lang w:eastAsia="en-GB"/>
              </w:rPr>
              <w:drawing>
                <wp:anchor distT="0" distB="0" distL="114300" distR="114300" simplePos="0" relativeHeight="251670528" behindDoc="0" locked="1" layoutInCell="1" allowOverlap="1" wp14:anchorId="3589C917" wp14:editId="01F44656">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72057F8D" w14:textId="0ED581EB" w:rsidR="00963CE4" w:rsidRDefault="00CC76F6">
      <w:r>
        <w:rPr>
          <w:noProof/>
          <w:lang w:eastAsia="en-GB"/>
        </w:rPr>
        <w:drawing>
          <wp:anchor distT="0" distB="0" distL="114300" distR="114300" simplePos="0" relativeHeight="251666432" behindDoc="0" locked="0" layoutInCell="0" allowOverlap="1" wp14:anchorId="133AEF97" wp14:editId="23F33F97">
            <wp:simplePos x="0" y="0"/>
            <wp:positionH relativeFrom="page">
              <wp:posOffset>-247650</wp:posOffset>
            </wp:positionH>
            <wp:positionV relativeFrom="page">
              <wp:posOffset>4620895</wp:posOffset>
            </wp:positionV>
            <wp:extent cx="7791450" cy="9695154"/>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791450" cy="96951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B3417" w14:textId="1BC003A1" w:rsidR="00963CE4" w:rsidRDefault="00963CE4"/>
    <w:p w14:paraId="5B0A3789" w14:textId="77777777" w:rsidR="00963CE4" w:rsidRDefault="00963CE4"/>
    <w:p w14:paraId="3201732A" w14:textId="77777777" w:rsidR="00963CE4" w:rsidRDefault="00963CE4"/>
    <w:p w14:paraId="7CABD76A" w14:textId="77777777" w:rsidR="00963CE4" w:rsidRDefault="00963CE4"/>
    <w:p w14:paraId="6773F072" w14:textId="3CCC9035" w:rsidR="00963CE4" w:rsidRDefault="00963CE4"/>
    <w:p w14:paraId="65DC37D4" w14:textId="7668EA1F" w:rsidR="00963CE4" w:rsidRDefault="00963CE4"/>
    <w:p w14:paraId="4C56A7DE" w14:textId="442D3CEA" w:rsidR="00963CE4" w:rsidRDefault="00963CE4"/>
    <w:p w14:paraId="3372C00C" w14:textId="4D59193B" w:rsidR="00963CE4" w:rsidRDefault="00963CE4"/>
    <w:p w14:paraId="543E6260" w14:textId="302B2705" w:rsidR="00963CE4" w:rsidRDefault="00963CE4"/>
    <w:p w14:paraId="7850EACB" w14:textId="77777777" w:rsidR="00963CE4" w:rsidRDefault="00963CE4"/>
    <w:p w14:paraId="534C597E" w14:textId="77777777" w:rsidR="00963CE4" w:rsidRDefault="00963CE4"/>
    <w:p w14:paraId="33121868" w14:textId="77777777" w:rsidR="00963CE4" w:rsidRDefault="00963CE4"/>
    <w:p w14:paraId="583F1B42"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080585C7" w14:textId="77777777" w:rsidR="00012FB9" w:rsidRDefault="00012FB9" w:rsidP="00012FB9">
      <w:pPr>
        <w:pStyle w:val="HWHeading1"/>
      </w:pPr>
      <w:bookmarkStart w:id="1" w:name="_Toc218519639"/>
      <w:r>
        <w:lastRenderedPageBreak/>
        <w:t>Contents</w:t>
      </w:r>
      <w:bookmarkEnd w:id="1"/>
    </w:p>
    <w:p w14:paraId="5E674403" w14:textId="5ECCB5B2" w:rsidR="00E0135A"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r w:rsidR="00E0135A">
        <w:t>Contents</w:t>
      </w:r>
      <w:r w:rsidR="00E0135A">
        <w:tab/>
      </w:r>
      <w:r w:rsidR="00E0135A">
        <w:fldChar w:fldCharType="begin"/>
      </w:r>
      <w:r w:rsidR="00E0135A">
        <w:instrText xml:space="preserve"> PAGEREF _Toc218519639 \h </w:instrText>
      </w:r>
      <w:r w:rsidR="00E0135A">
        <w:fldChar w:fldCharType="separate"/>
      </w:r>
      <w:r w:rsidR="00E0135A">
        <w:t>1</w:t>
      </w:r>
      <w:r w:rsidR="00E0135A">
        <w:fldChar w:fldCharType="end"/>
      </w:r>
    </w:p>
    <w:p w14:paraId="3AA91F0D" w14:textId="7521EA59" w:rsidR="00E0135A" w:rsidRDefault="00E0135A">
      <w:pPr>
        <w:pStyle w:val="TOC1"/>
        <w:rPr>
          <w:rFonts w:asciiTheme="minorHAnsi" w:eastAsiaTheme="minorEastAsia" w:hAnsiTheme="minorHAnsi" w:cstheme="minorBidi"/>
          <w:b w:val="0"/>
          <w:color w:val="auto"/>
          <w:kern w:val="2"/>
          <w:szCs w:val="24"/>
          <w:lang w:eastAsia="en-GB"/>
          <w14:ligatures w14:val="standardContextual"/>
        </w:rPr>
      </w:pPr>
      <w:r>
        <w:t>About this guide</w:t>
      </w:r>
      <w:r>
        <w:tab/>
      </w:r>
      <w:r>
        <w:fldChar w:fldCharType="begin"/>
      </w:r>
      <w:r>
        <w:instrText xml:space="preserve"> PAGEREF _Toc218519640 \h </w:instrText>
      </w:r>
      <w:r>
        <w:fldChar w:fldCharType="separate"/>
      </w:r>
      <w:r>
        <w:t>2</w:t>
      </w:r>
      <w:r>
        <w:fldChar w:fldCharType="end"/>
      </w:r>
    </w:p>
    <w:p w14:paraId="05190826" w14:textId="70A33680" w:rsidR="00E0135A" w:rsidRDefault="00E0135A">
      <w:pPr>
        <w:pStyle w:val="TOC1"/>
        <w:rPr>
          <w:rFonts w:asciiTheme="minorHAnsi" w:eastAsiaTheme="minorEastAsia" w:hAnsiTheme="minorHAnsi" w:cstheme="minorBidi"/>
          <w:b w:val="0"/>
          <w:color w:val="auto"/>
          <w:kern w:val="2"/>
          <w:szCs w:val="24"/>
          <w:lang w:eastAsia="en-GB"/>
          <w14:ligatures w14:val="standardContextual"/>
        </w:rPr>
      </w:pPr>
      <w:r>
        <w:t>Why work with other organisations on research projects?</w:t>
      </w:r>
      <w:r>
        <w:tab/>
      </w:r>
      <w:r>
        <w:fldChar w:fldCharType="begin"/>
      </w:r>
      <w:r>
        <w:instrText xml:space="preserve"> PAGEREF _Toc218519641 \h </w:instrText>
      </w:r>
      <w:r>
        <w:fldChar w:fldCharType="separate"/>
      </w:r>
      <w:r>
        <w:t>2</w:t>
      </w:r>
      <w:r>
        <w:fldChar w:fldCharType="end"/>
      </w:r>
    </w:p>
    <w:p w14:paraId="2C5A45CA" w14:textId="7511CE2C" w:rsidR="00E0135A" w:rsidRDefault="00E0135A">
      <w:pPr>
        <w:pStyle w:val="TOC1"/>
        <w:rPr>
          <w:rFonts w:asciiTheme="minorHAnsi" w:eastAsiaTheme="minorEastAsia" w:hAnsiTheme="minorHAnsi" w:cstheme="minorBidi"/>
          <w:b w:val="0"/>
          <w:color w:val="auto"/>
          <w:kern w:val="2"/>
          <w:szCs w:val="24"/>
          <w:lang w:eastAsia="en-GB"/>
          <w14:ligatures w14:val="standardContextual"/>
        </w:rPr>
      </w:pPr>
      <w:r>
        <w:t>Considerations when working with partners</w:t>
      </w:r>
      <w:r>
        <w:tab/>
      </w:r>
      <w:r>
        <w:fldChar w:fldCharType="begin"/>
      </w:r>
      <w:r>
        <w:instrText xml:space="preserve"> PAGEREF _Toc218519642 \h </w:instrText>
      </w:r>
      <w:r>
        <w:fldChar w:fldCharType="separate"/>
      </w:r>
      <w:r>
        <w:t>3</w:t>
      </w:r>
      <w:r>
        <w:fldChar w:fldCharType="end"/>
      </w:r>
    </w:p>
    <w:p w14:paraId="1E3421C3" w14:textId="1B3AA01E" w:rsidR="00E0135A" w:rsidRDefault="00E0135A">
      <w:pPr>
        <w:pStyle w:val="TOC1"/>
        <w:rPr>
          <w:rFonts w:asciiTheme="minorHAnsi" w:eastAsiaTheme="minorEastAsia" w:hAnsiTheme="minorHAnsi" w:cstheme="minorBidi"/>
          <w:b w:val="0"/>
          <w:color w:val="auto"/>
          <w:kern w:val="2"/>
          <w:szCs w:val="24"/>
          <w:lang w:eastAsia="en-GB"/>
          <w14:ligatures w14:val="standardContextual"/>
        </w:rPr>
      </w:pPr>
      <w:r>
        <w:t>Maintaining Healthwatch independence</w:t>
      </w:r>
      <w:r>
        <w:tab/>
      </w:r>
      <w:r>
        <w:fldChar w:fldCharType="begin"/>
      </w:r>
      <w:r>
        <w:instrText xml:space="preserve"> PAGEREF _Toc218519643 \h </w:instrText>
      </w:r>
      <w:r>
        <w:fldChar w:fldCharType="separate"/>
      </w:r>
      <w:r>
        <w:t>3</w:t>
      </w:r>
      <w:r>
        <w:fldChar w:fldCharType="end"/>
      </w:r>
    </w:p>
    <w:p w14:paraId="51000557" w14:textId="07301B93" w:rsidR="00E0135A" w:rsidRDefault="00E0135A">
      <w:pPr>
        <w:pStyle w:val="TOC1"/>
        <w:rPr>
          <w:rFonts w:asciiTheme="minorHAnsi" w:eastAsiaTheme="minorEastAsia" w:hAnsiTheme="minorHAnsi" w:cstheme="minorBidi"/>
          <w:b w:val="0"/>
          <w:color w:val="auto"/>
          <w:kern w:val="2"/>
          <w:szCs w:val="24"/>
          <w:lang w:eastAsia="en-GB"/>
          <w14:ligatures w14:val="standardContextual"/>
        </w:rPr>
      </w:pPr>
      <w:r>
        <w:t>Intellectual property rights</w:t>
      </w:r>
      <w:r>
        <w:tab/>
      </w:r>
      <w:r>
        <w:fldChar w:fldCharType="begin"/>
      </w:r>
      <w:r>
        <w:instrText xml:space="preserve"> PAGEREF _Toc218519644 \h </w:instrText>
      </w:r>
      <w:r>
        <w:fldChar w:fldCharType="separate"/>
      </w:r>
      <w:r>
        <w:t>4</w:t>
      </w:r>
      <w:r>
        <w:fldChar w:fldCharType="end"/>
      </w:r>
    </w:p>
    <w:p w14:paraId="7A89D09E" w14:textId="08D9A9BC" w:rsidR="00F761E6" w:rsidRDefault="00701C43" w:rsidP="00E26976">
      <w:pPr>
        <w:pStyle w:val="HWHeading1"/>
      </w:pPr>
      <w:r>
        <w:fldChar w:fldCharType="end"/>
      </w:r>
    </w:p>
    <w:p w14:paraId="141547A5" w14:textId="77777777" w:rsidR="00701C43" w:rsidRDefault="00701C43" w:rsidP="00701C43">
      <w:pPr>
        <w:pStyle w:val="HWNormalText"/>
      </w:pPr>
      <w:r>
        <w:br w:type="page"/>
      </w:r>
    </w:p>
    <w:p w14:paraId="1DFC3722" w14:textId="77777777" w:rsidR="00CC76F6" w:rsidRDefault="00CC76F6" w:rsidP="00CC76F6">
      <w:pPr>
        <w:pStyle w:val="HWHeading1"/>
      </w:pPr>
      <w:bookmarkStart w:id="2" w:name="_Toc218519640"/>
      <w:r>
        <w:lastRenderedPageBreak/>
        <w:t>About this guide</w:t>
      </w:r>
      <w:bookmarkEnd w:id="2"/>
    </w:p>
    <w:p w14:paraId="6FDBDF7A" w14:textId="4979AF2C" w:rsidR="00CC76F6" w:rsidRDefault="00CC76F6" w:rsidP="00CC76F6">
      <w:pPr>
        <w:pStyle w:val="HWNormalText"/>
      </w:pPr>
      <w:r>
        <w:t xml:space="preserve">This guidance </w:t>
      </w:r>
      <w:r w:rsidR="005C2592">
        <w:t>explores why it’s important to work with partners and the safeguards you need to put in place when doing so to maintain Healthwatch independence.</w:t>
      </w:r>
      <w:r>
        <w:t xml:space="preserve"> </w:t>
      </w:r>
    </w:p>
    <w:p w14:paraId="1FD8436F" w14:textId="77777777" w:rsidR="00CC76F6" w:rsidRDefault="00CC76F6" w:rsidP="00FF3EFE">
      <w:pPr>
        <w:pStyle w:val="HWHeading1"/>
      </w:pPr>
      <w:bookmarkStart w:id="3" w:name="_Toc218519641"/>
      <w:r>
        <w:t>Why work with other organisations on research projects?</w:t>
      </w:r>
      <w:bookmarkEnd w:id="3"/>
    </w:p>
    <w:p w14:paraId="469FB052" w14:textId="213782EC" w:rsidR="00CC76F6" w:rsidRDefault="00CC76F6" w:rsidP="00CC76F6">
      <w:pPr>
        <w:pStyle w:val="HWNormalText"/>
      </w:pPr>
      <w:r>
        <w:t xml:space="preserve">Working with other organisations to undertake research projects and influence stakeholders can be very beneficial. </w:t>
      </w:r>
    </w:p>
    <w:p w14:paraId="6E906D6E" w14:textId="14B94B36" w:rsidR="007B551D" w:rsidRDefault="00430D91" w:rsidP="005C2592">
      <w:pPr>
        <w:pStyle w:val="HWHeading2"/>
      </w:pPr>
      <w:r>
        <w:t xml:space="preserve">You </w:t>
      </w:r>
      <w:r w:rsidR="00D62A31">
        <w:t>share resources</w:t>
      </w:r>
    </w:p>
    <w:p w14:paraId="08E1B36D" w14:textId="77777777" w:rsidR="009B2FE8" w:rsidRDefault="009B2FE8" w:rsidP="00FF3EFE">
      <w:pPr>
        <w:pStyle w:val="HWBullets"/>
      </w:pPr>
      <w:r w:rsidRPr="009B2FE8">
        <w:t>It can help fill skills gaps in your Healthwatch or provides you with an opportunity to share your skills</w:t>
      </w:r>
    </w:p>
    <w:p w14:paraId="4D93C45D" w14:textId="740F4547" w:rsidR="00CF3DAE" w:rsidRDefault="00CF3DAE" w:rsidP="00FF3EFE">
      <w:pPr>
        <w:pStyle w:val="HWBullets"/>
      </w:pPr>
      <w:r>
        <w:t>You can identify broader information-sharing opportunities.</w:t>
      </w:r>
    </w:p>
    <w:p w14:paraId="764719E7" w14:textId="77777777" w:rsidR="003A32DD" w:rsidRPr="00CC76F6" w:rsidRDefault="003A32DD" w:rsidP="00FF3EFE">
      <w:pPr>
        <w:pStyle w:val="HWBullets"/>
      </w:pPr>
      <w:r>
        <w:t>You can s</w:t>
      </w:r>
      <w:r w:rsidRPr="00CC76F6">
        <w:t>pread the cost of undertaking the research and/or increase reach.</w:t>
      </w:r>
    </w:p>
    <w:p w14:paraId="60B88F8A" w14:textId="69E0FC19" w:rsidR="00CF3DAE" w:rsidRDefault="00D62A31" w:rsidP="005C2592">
      <w:pPr>
        <w:pStyle w:val="HWHeading2"/>
      </w:pPr>
      <w:r>
        <w:t>You share</w:t>
      </w:r>
      <w:r w:rsidR="00CF3DAE">
        <w:t xml:space="preserve"> experience</w:t>
      </w:r>
      <w:r w:rsidR="003A32DD">
        <w:t xml:space="preserve"> and perspectives</w:t>
      </w:r>
    </w:p>
    <w:p w14:paraId="773C2010" w14:textId="23496326" w:rsidR="00CC76F6" w:rsidRDefault="004874D1" w:rsidP="00FF3EFE">
      <w:pPr>
        <w:pStyle w:val="HWBullets"/>
      </w:pPr>
      <w:r>
        <w:t>It can p</w:t>
      </w:r>
      <w:r w:rsidR="00CC76F6" w:rsidRPr="004874D1">
        <w:t>rovide a different perspective on research topics, methods and influencing policies and practices.</w:t>
      </w:r>
    </w:p>
    <w:p w14:paraId="1A457D23" w14:textId="2F763B5C" w:rsidR="00CC76F6" w:rsidRDefault="004874D1" w:rsidP="00FF3EFE">
      <w:pPr>
        <w:pStyle w:val="HWBullets"/>
      </w:pPr>
      <w:r w:rsidRPr="004874D1">
        <w:t>Your partners can q</w:t>
      </w:r>
      <w:r w:rsidR="00CC76F6" w:rsidRPr="004874D1">
        <w:t>uality assure and test your work.</w:t>
      </w:r>
    </w:p>
    <w:p w14:paraId="1DA470DF" w14:textId="77777777" w:rsidR="008748A6" w:rsidRPr="00466D05" w:rsidRDefault="008748A6" w:rsidP="00FF3EFE">
      <w:pPr>
        <w:pStyle w:val="HWBullets"/>
      </w:pPr>
      <w:r>
        <w:t>By working with partners, you can e</w:t>
      </w:r>
      <w:r w:rsidRPr="00466D05">
        <w:t>nhance your engagement by giving you access to people who are seldom heard.</w:t>
      </w:r>
    </w:p>
    <w:p w14:paraId="32A4E846" w14:textId="66FA96DE" w:rsidR="003A32DD" w:rsidRDefault="00D62A31" w:rsidP="005C2592">
      <w:pPr>
        <w:pStyle w:val="HWHeading2"/>
      </w:pPr>
      <w:r>
        <w:t>You can achieve better impact</w:t>
      </w:r>
    </w:p>
    <w:p w14:paraId="48C426E7" w14:textId="77777777" w:rsidR="008748A6" w:rsidRDefault="008748A6" w:rsidP="00FF3EFE">
      <w:pPr>
        <w:pStyle w:val="HWBullets"/>
      </w:pPr>
      <w:r>
        <w:t>You can work together to create achievable suggestions or recommendations.</w:t>
      </w:r>
    </w:p>
    <w:p w14:paraId="28153F51" w14:textId="77777777" w:rsidR="008748A6" w:rsidRDefault="008748A6" w:rsidP="00FF3EFE">
      <w:pPr>
        <w:pStyle w:val="HWBullets"/>
      </w:pPr>
      <w:r>
        <w:t>Your partners can add additional weight to any suggestions or recommendations made.</w:t>
      </w:r>
    </w:p>
    <w:p w14:paraId="522AC045" w14:textId="77777777" w:rsidR="008748A6" w:rsidRDefault="008748A6" w:rsidP="00FF3EFE">
      <w:pPr>
        <w:pStyle w:val="HWBullets"/>
      </w:pPr>
      <w:r>
        <w:t>You can enhance your profile or reputation.</w:t>
      </w:r>
    </w:p>
    <w:p w14:paraId="5AA3FF8F" w14:textId="77777777" w:rsidR="001815C4" w:rsidRDefault="001815C4" w:rsidP="003A32DD">
      <w:pPr>
        <w:pStyle w:val="HWBullets"/>
        <w:numPr>
          <w:ilvl w:val="0"/>
          <w:numId w:val="0"/>
        </w:numPr>
        <w:ind w:left="142"/>
      </w:pPr>
    </w:p>
    <w:p w14:paraId="788522FF" w14:textId="34D5077B" w:rsidR="008748A6" w:rsidRPr="004874D1" w:rsidRDefault="00D62A31" w:rsidP="005C2592">
      <w:pPr>
        <w:pStyle w:val="HWHeading2"/>
      </w:pPr>
      <w:r>
        <w:lastRenderedPageBreak/>
        <w:t>You can identify o</w:t>
      </w:r>
      <w:r w:rsidR="008748A6">
        <w:t>pportunities for the future</w:t>
      </w:r>
    </w:p>
    <w:p w14:paraId="0686570F" w14:textId="2B1AEEC0" w:rsidR="00CC76F6" w:rsidRDefault="00D62A31" w:rsidP="00F47F3D">
      <w:pPr>
        <w:pStyle w:val="HWBullets"/>
      </w:pPr>
      <w:r>
        <w:t>It will help you u</w:t>
      </w:r>
      <w:r w:rsidR="00CC76F6">
        <w:t xml:space="preserve">nderstand </w:t>
      </w:r>
      <w:r>
        <w:t xml:space="preserve">the other party’s </w:t>
      </w:r>
      <w:r w:rsidR="00CC76F6">
        <w:t>organisational objectives and pave the way for future collaborative opportunities.</w:t>
      </w:r>
    </w:p>
    <w:p w14:paraId="2E55955B" w14:textId="7856F64D" w:rsidR="00CC76F6" w:rsidRDefault="00981337" w:rsidP="00981337">
      <w:pPr>
        <w:pStyle w:val="HWHeading1"/>
      </w:pPr>
      <w:bookmarkStart w:id="4" w:name="_Toc218519642"/>
      <w:r>
        <w:t>Considerations when working with partners</w:t>
      </w:r>
      <w:bookmarkEnd w:id="4"/>
    </w:p>
    <w:p w14:paraId="1AC706DB" w14:textId="12E625AB" w:rsidR="00981337" w:rsidRDefault="00CC76F6" w:rsidP="00CC76F6">
      <w:pPr>
        <w:pStyle w:val="HWNormalText"/>
      </w:pPr>
      <w:r>
        <w:t>Working in partnership is an excellent way to maximise impact, but it needs good planning. You'll need to think through several things.</w:t>
      </w:r>
    </w:p>
    <w:p w14:paraId="1CFC1725" w14:textId="12073691" w:rsidR="00CC76F6" w:rsidRDefault="00981337" w:rsidP="004C762A">
      <w:pPr>
        <w:pStyle w:val="HWHeading2"/>
      </w:pPr>
      <w:r>
        <w:t>Establish</w:t>
      </w:r>
      <w:r w:rsidR="002F3229">
        <w:t xml:space="preserve"> how you’ll work together</w:t>
      </w:r>
    </w:p>
    <w:p w14:paraId="0E109C9E" w14:textId="77777777" w:rsidR="00CC76F6" w:rsidRDefault="00CC76F6" w:rsidP="00CC76F6">
      <w:pPr>
        <w:pStyle w:val="HWNormalText"/>
      </w:pPr>
      <w:r>
        <w:t xml:space="preserve">Each organisation’s objectives and outcomes will be different. Have a frank conversation about both organisations' expectations and establish a clear joint vision. It is vital to reach an agreement at the very beginning about what can be done and achieved within the project's parameters. </w:t>
      </w:r>
    </w:p>
    <w:p w14:paraId="2E551963" w14:textId="77777777" w:rsidR="00CC76F6" w:rsidRDefault="00CC76F6" w:rsidP="000A2EE3">
      <w:pPr>
        <w:pStyle w:val="HWHeading2"/>
      </w:pPr>
      <w:r>
        <w:t>Clarify roles, responsibilities and expectations</w:t>
      </w:r>
    </w:p>
    <w:p w14:paraId="0A9955BF" w14:textId="77777777" w:rsidR="00B7246A" w:rsidRDefault="00B7246A" w:rsidP="00B7246A">
      <w:pPr>
        <w:pStyle w:val="HWNormalText"/>
        <w:rPr>
          <w:b/>
          <w:bCs/>
        </w:rPr>
      </w:pPr>
      <w:r w:rsidRPr="00B7246A">
        <w:t xml:space="preserve">Ensure that there are no misunderstandings about what each organisation will provide and receive during the research process. Clarify the expectations and timelines of the project. This is a great time to discuss intellectual property rights, which are about ownership of the data, authorship and research publication. </w:t>
      </w:r>
    </w:p>
    <w:p w14:paraId="6C2C1C7D" w14:textId="0CED671C" w:rsidR="00CC76F6" w:rsidRDefault="00CC76F6" w:rsidP="000A2EE3">
      <w:pPr>
        <w:pStyle w:val="HWHeading2"/>
      </w:pPr>
      <w:r>
        <w:t>Be flexible</w:t>
      </w:r>
    </w:p>
    <w:p w14:paraId="734DCDD6" w14:textId="77777777" w:rsidR="00CC76F6" w:rsidRDefault="00CC76F6" w:rsidP="00CC76F6">
      <w:pPr>
        <w:pStyle w:val="HWNormalText"/>
      </w:pPr>
      <w:r>
        <w:t>Try to stick to your aims and objectives but remember to be flexible – sometimes things may not go as planned, so be prepared to adapt.</w:t>
      </w:r>
    </w:p>
    <w:p w14:paraId="0ADE7046" w14:textId="77777777" w:rsidR="00CC76F6" w:rsidRDefault="00CC76F6" w:rsidP="004C762A">
      <w:pPr>
        <w:pStyle w:val="HWHeading1"/>
      </w:pPr>
      <w:bookmarkStart w:id="5" w:name="_Toc218519643"/>
      <w:r>
        <w:t>Maintaining Healthwatch independence</w:t>
      </w:r>
      <w:bookmarkEnd w:id="5"/>
    </w:p>
    <w:p w14:paraId="1285E5B4" w14:textId="2A31AC7B" w:rsidR="00CC76F6" w:rsidRDefault="00CC76F6" w:rsidP="00CC76F6">
      <w:pPr>
        <w:pStyle w:val="HWNormalText"/>
      </w:pPr>
      <w:r>
        <w:t xml:space="preserve">When working with partners, it is important to maintain Healthwatch's independence. Ensure any conflicts of interest have been made transparent. Don't feel pressured to agree to changes that you don't feel comfortable with or that will compromise Healthwatch's integrity. Consider solutions to potential disagreements when you write </w:t>
      </w:r>
      <w:r w:rsidR="006B30A4">
        <w:t>your report</w:t>
      </w:r>
      <w:r>
        <w:t>. It's best to have an agreed-upon process for disputes about findings and recommendations.</w:t>
      </w:r>
    </w:p>
    <w:p w14:paraId="35C9EDAD" w14:textId="0A91FF0E" w:rsidR="00CC76F6" w:rsidRDefault="00CC76F6" w:rsidP="00CC76F6">
      <w:pPr>
        <w:pStyle w:val="HWNormalText"/>
      </w:pPr>
      <w:r>
        <w:lastRenderedPageBreak/>
        <w:t xml:space="preserve">You can find more information in our guidance, </w:t>
      </w:r>
      <w:hyperlink r:id="rId15" w:history="1">
        <w:r w:rsidRPr="00140A32">
          <w:rPr>
            <w:rStyle w:val="Hyperlink"/>
          </w:rPr>
          <w:t>Helping you to create a robust conflict of interest policy</w:t>
        </w:r>
      </w:hyperlink>
      <w:r>
        <w:t xml:space="preserve"> and </w:t>
      </w:r>
      <w:hyperlink r:id="rId16" w:history="1">
        <w:r w:rsidRPr="005702A4">
          <w:rPr>
            <w:rStyle w:val="Hyperlink"/>
          </w:rPr>
          <w:t>How to run a Healthwatch</w:t>
        </w:r>
      </w:hyperlink>
      <w:r>
        <w:t xml:space="preserve">. </w:t>
      </w:r>
    </w:p>
    <w:p w14:paraId="1EAFE409" w14:textId="77777777" w:rsidR="00CC76F6" w:rsidRDefault="00CC76F6" w:rsidP="004C762A">
      <w:pPr>
        <w:pStyle w:val="HWHeading2"/>
      </w:pPr>
      <w:r>
        <w:t xml:space="preserve">Write down all agreements, roles and responsibilities </w:t>
      </w:r>
    </w:p>
    <w:p w14:paraId="5CCBED1B" w14:textId="2774023E" w:rsidR="00CC76F6" w:rsidRDefault="00CC76F6" w:rsidP="00CC76F6">
      <w:pPr>
        <w:pStyle w:val="HWNormalText"/>
      </w:pPr>
      <w:r>
        <w:t xml:space="preserve">This ensures everyone has a physical copy of what you've all decided. This can be an email. </w:t>
      </w:r>
      <w:r w:rsidR="007E4394" w:rsidRPr="007E4394">
        <w:t>However, if it is a commissioned project, consider a more formal approach, such as a memorandum of understanding (MOU).</w:t>
      </w:r>
    </w:p>
    <w:p w14:paraId="16541BB9" w14:textId="77777777" w:rsidR="00CC76F6" w:rsidRDefault="00CC76F6" w:rsidP="004C762A">
      <w:pPr>
        <w:pStyle w:val="HWHeading2"/>
      </w:pPr>
      <w:r>
        <w:t xml:space="preserve">Agree to check-in points </w:t>
      </w:r>
    </w:p>
    <w:p w14:paraId="0BC6ACCA" w14:textId="485F4AA1" w:rsidR="005C4837" w:rsidRDefault="00CC76F6" w:rsidP="005C4837">
      <w:pPr>
        <w:pStyle w:val="HWNormalText"/>
      </w:pPr>
      <w:r>
        <w:t xml:space="preserve">This ensures communication throughout your research, so everyone can keep up to date with how your project is going. </w:t>
      </w:r>
      <w:r w:rsidR="004E7108" w:rsidRPr="004E7108">
        <w:t>Maintaining regular contact with your partners is a great way to keep them involved and to identify potential problems at an earlier stage</w:t>
      </w:r>
      <w:r>
        <w:t xml:space="preserve">. Aside from regular check-ins, it's also a good idea to have project updates around research milestones, such as the planning stage, the analysis and findings, and the recommendations.  </w:t>
      </w:r>
    </w:p>
    <w:p w14:paraId="4AA48468" w14:textId="77777777" w:rsidR="005C4837" w:rsidRDefault="005C4837" w:rsidP="005C4837">
      <w:pPr>
        <w:pStyle w:val="HWNormalText"/>
      </w:pPr>
    </w:p>
    <w:p w14:paraId="69E26964" w14:textId="0A5C2366" w:rsidR="00CC76F6" w:rsidRDefault="00CC76F6" w:rsidP="004C762A">
      <w:pPr>
        <w:pStyle w:val="HWHeading1"/>
      </w:pPr>
      <w:bookmarkStart w:id="6" w:name="_Toc218519644"/>
      <w:r>
        <w:t>Intellectual property rights</w:t>
      </w:r>
      <w:bookmarkEnd w:id="6"/>
    </w:p>
    <w:p w14:paraId="2C5D2B9D" w14:textId="77777777" w:rsidR="005A5019" w:rsidRDefault="00CC76F6" w:rsidP="005A5019">
      <w:pPr>
        <w:pStyle w:val="HWNormalText"/>
      </w:pPr>
      <w:r>
        <w:t xml:space="preserve">Intellectual property (IP) is something you create using your mind – including an invention, an artistic work or a piece of writing. Copyrights, patents and trademarks are all forms of IP. </w:t>
      </w:r>
      <w:r w:rsidR="005A5019" w:rsidRPr="005A5019">
        <w:t>For Healthwatch, IP can encompass the findings and outcomes of any research we conduct.</w:t>
      </w:r>
    </w:p>
    <w:p w14:paraId="389F0263" w14:textId="43E11130" w:rsidR="00CC76F6" w:rsidRDefault="00CC76F6" w:rsidP="005A5019">
      <w:pPr>
        <w:pStyle w:val="HWHeading2"/>
      </w:pPr>
      <w:r>
        <w:t>Why do we need to think about intellectual property rights?</w:t>
      </w:r>
    </w:p>
    <w:p w14:paraId="472B6130" w14:textId="77777777" w:rsidR="00CC76F6" w:rsidRDefault="00CC76F6" w:rsidP="00CC76F6">
      <w:pPr>
        <w:pStyle w:val="HWNormalText"/>
      </w:pPr>
      <w:r>
        <w:t>Like other kinds of property, intellectual property can be owned and protected. Intellectual property rights guard the ownership and use of IP. For Healthwatch, considering intellectual property rights is usually only relevant when another organisation has commissioned the project, or you are working in partnership with one or more other organisations. In basic terms, IP rights define who owns the data generated through a project and who owns any final reports or other project outputs.</w:t>
      </w:r>
    </w:p>
    <w:p w14:paraId="663C4461" w14:textId="73DD50C7" w:rsidR="00CC76F6" w:rsidRDefault="00CC76F6" w:rsidP="00CC76F6">
      <w:pPr>
        <w:pStyle w:val="HWNormalText"/>
      </w:pPr>
      <w:r>
        <w:t xml:space="preserve">In this regard, you need to consider how the independence of Healthwatch is protected. The independence of purpose, voice and action sets local Healthwatch apart from the statutory organisations and bodies you work with, enabling you to effectively deliver our statutory duties as the </w:t>
      </w:r>
      <w:r w:rsidR="00CA27BD">
        <w:t xml:space="preserve">patient and social care user </w:t>
      </w:r>
      <w:r>
        <w:t>champion for health and social care by speaking up for everyone.</w:t>
      </w:r>
    </w:p>
    <w:p w14:paraId="34CBF592" w14:textId="77777777" w:rsidR="00286E9E" w:rsidRDefault="00CC76F6" w:rsidP="00286E9E">
      <w:pPr>
        <w:pStyle w:val="HWNormalText"/>
      </w:pPr>
      <w:r>
        <w:t xml:space="preserve">Independence does not mean avoiding partnership with others. Strong and trusted relationships are vital to having local insight and influence. </w:t>
      </w:r>
      <w:r w:rsidR="00286E9E" w:rsidRPr="00286E9E">
        <w:t xml:space="preserve">When </w:t>
      </w:r>
      <w:r w:rsidR="00286E9E" w:rsidRPr="00286E9E">
        <w:lastRenderedPageBreak/>
        <w:t>undertaking commissioned work, there is a risk that commissioners might not understand your independence and statutory powers, so it is essential to make these clear upfront to manage expectations.</w:t>
      </w:r>
    </w:p>
    <w:p w14:paraId="0631354F" w14:textId="6018DC65" w:rsidR="00CC76F6" w:rsidRDefault="00CC76F6" w:rsidP="00286E9E">
      <w:pPr>
        <w:pStyle w:val="HWHeading2"/>
      </w:pPr>
      <w:r>
        <w:t xml:space="preserve">What do we need to do and when? </w:t>
      </w:r>
    </w:p>
    <w:p w14:paraId="28D6D272" w14:textId="77777777" w:rsidR="00CC76F6" w:rsidRDefault="00CC76F6" w:rsidP="00CC76F6">
      <w:pPr>
        <w:pStyle w:val="HWNormalText"/>
      </w:pPr>
      <w:r>
        <w:t>The key to successfully managing intellectual property rights in Healthwatch research is to ensure the following points have been agreed upon at the project planning stage before any work begins:</w:t>
      </w:r>
    </w:p>
    <w:p w14:paraId="54542279" w14:textId="77777777" w:rsidR="00CC76F6" w:rsidRDefault="00CC76F6" w:rsidP="004C762A">
      <w:pPr>
        <w:pStyle w:val="HWHeading2"/>
      </w:pPr>
      <w:r>
        <w:t>Which organisations are commissioning and/or collaborating on the project?</w:t>
      </w:r>
    </w:p>
    <w:p w14:paraId="3ABB6B9A" w14:textId="77777777" w:rsidR="00CC76F6" w:rsidRDefault="00CC76F6" w:rsidP="00CC76F6">
      <w:pPr>
        <w:pStyle w:val="HWNormalText"/>
      </w:pPr>
      <w:r>
        <w:t>These stakeholders need to agree to the plan for managing intellectual property related to the project.</w:t>
      </w:r>
    </w:p>
    <w:p w14:paraId="431BBF26" w14:textId="77777777" w:rsidR="00CC76F6" w:rsidRDefault="00CC76F6" w:rsidP="004C762A">
      <w:pPr>
        <w:pStyle w:val="HWHeading2"/>
      </w:pPr>
      <w:r>
        <w:t>How will you comply with data protection legislation?</w:t>
      </w:r>
    </w:p>
    <w:p w14:paraId="44AC1F4E" w14:textId="0CA28E0C" w:rsidR="007F138D" w:rsidRDefault="007F138D" w:rsidP="00CC76F6">
      <w:pPr>
        <w:pStyle w:val="HWNormalText"/>
      </w:pPr>
      <w:r>
        <w:t xml:space="preserve">Working in partnership with other organisations means you </w:t>
      </w:r>
      <w:r w:rsidR="00470DDE">
        <w:t xml:space="preserve">need to consider </w:t>
      </w:r>
      <w:r w:rsidR="00EF7028">
        <w:t xml:space="preserve">how you’ll comply with data protection </w:t>
      </w:r>
      <w:r w:rsidR="0023202F">
        <w:t>legislation.</w:t>
      </w:r>
    </w:p>
    <w:p w14:paraId="1A80E43B" w14:textId="2983E9C6" w:rsidR="00CC76F6" w:rsidRDefault="00CC76F6" w:rsidP="00CC76F6">
      <w:pPr>
        <w:pStyle w:val="HWNormalText"/>
      </w:pPr>
      <w:r>
        <w:t xml:space="preserve">Decide who will take on the roles of Data Controller or the Data Protection Officer. </w:t>
      </w:r>
    </w:p>
    <w:p w14:paraId="5DC07397" w14:textId="4CA6B8FB" w:rsidR="00CC76F6" w:rsidRDefault="00CC76F6" w:rsidP="00CC76F6">
      <w:pPr>
        <w:pStyle w:val="HWNormalText"/>
      </w:pPr>
      <w:r>
        <w:t xml:space="preserve">Decide who will be responsible for data subject access requests and </w:t>
      </w:r>
      <w:proofErr w:type="gramStart"/>
      <w:r>
        <w:t>take action</w:t>
      </w:r>
      <w:proofErr w:type="gramEnd"/>
      <w:r>
        <w:t xml:space="preserve"> on any safeguarding issues.</w:t>
      </w:r>
    </w:p>
    <w:p w14:paraId="331359F7" w14:textId="6827D5DD" w:rsidR="00EF7028" w:rsidRDefault="00EF7028" w:rsidP="00CC76F6">
      <w:pPr>
        <w:pStyle w:val="HWNormalText"/>
      </w:pPr>
      <w:r>
        <w:t xml:space="preserve">For further guidance, see </w:t>
      </w:r>
      <w:r w:rsidR="0023202F">
        <w:t xml:space="preserve">our guidance on </w:t>
      </w:r>
      <w:hyperlink r:id="rId17" w:history="1">
        <w:r w:rsidR="0023202F" w:rsidRPr="0023202F">
          <w:rPr>
            <w:rStyle w:val="Hyperlink"/>
          </w:rPr>
          <w:t>data processing and protection</w:t>
        </w:r>
      </w:hyperlink>
      <w:r w:rsidR="0023202F">
        <w:t>.</w:t>
      </w:r>
    </w:p>
    <w:p w14:paraId="7F777DA7" w14:textId="77777777" w:rsidR="00BF5C58" w:rsidRDefault="00BF5C58" w:rsidP="00CC76F6">
      <w:pPr>
        <w:pStyle w:val="HWNormalText"/>
      </w:pPr>
      <w:r w:rsidRPr="00BF5C58">
        <w:t xml:space="preserve">Assess and consider how to mitigate your risks by undertaking </w:t>
      </w:r>
      <w:hyperlink r:id="rId18" w:tgtFrame="_blank" w:history="1">
        <w:r w:rsidRPr="00BF5C58">
          <w:rPr>
            <w:rStyle w:val="Hyperlink"/>
          </w:rPr>
          <w:t>a data protection impact assessment</w:t>
        </w:r>
      </w:hyperlink>
    </w:p>
    <w:p w14:paraId="38B240A4" w14:textId="235E9B45" w:rsidR="00CC76F6" w:rsidRDefault="00CC76F6" w:rsidP="00CC76F6">
      <w:pPr>
        <w:pStyle w:val="HWNormalText"/>
      </w:pPr>
      <w:r>
        <w:t xml:space="preserve">Update your </w:t>
      </w:r>
      <w:hyperlink r:id="rId19" w:history="1">
        <w:r w:rsidRPr="00B66BE5">
          <w:rPr>
            <w:rStyle w:val="Hyperlink"/>
          </w:rPr>
          <w:t>privacy notice</w:t>
        </w:r>
      </w:hyperlink>
      <w:r>
        <w:t xml:space="preserve"> to explain who you’ll be sharing data with and how</w:t>
      </w:r>
      <w:r w:rsidR="00EF7028">
        <w:t xml:space="preserve">.  </w:t>
      </w:r>
      <w:r>
        <w:t xml:space="preserve"> </w:t>
      </w:r>
    </w:p>
    <w:p w14:paraId="2966961E" w14:textId="77777777" w:rsidR="00CC76F6" w:rsidRDefault="00CC76F6" w:rsidP="00CC76F6">
      <w:pPr>
        <w:pStyle w:val="HWNormalText"/>
      </w:pPr>
      <w:r>
        <w:t>Ensure that you have methods to share data securely with the other organisations in the project.</w:t>
      </w:r>
    </w:p>
    <w:p w14:paraId="5F99BBC3" w14:textId="648137E6" w:rsidR="00CC76F6" w:rsidRDefault="00CC76F6" w:rsidP="00CC76F6">
      <w:pPr>
        <w:pStyle w:val="HWNormalText"/>
      </w:pPr>
      <w:r>
        <w:t xml:space="preserve">Ensure that people who take part in joint surveys, focus groups or interviews understand how you’ll use the data by including brief information in </w:t>
      </w:r>
      <w:hyperlink r:id="rId20" w:history="1">
        <w:r w:rsidRPr="003542A8">
          <w:rPr>
            <w:rStyle w:val="Hyperlink"/>
          </w:rPr>
          <w:t>survey introductions</w:t>
        </w:r>
      </w:hyperlink>
      <w:r>
        <w:t xml:space="preserve"> or </w:t>
      </w:r>
      <w:hyperlink r:id="rId21" w:history="1">
        <w:r w:rsidRPr="002C4E6B">
          <w:rPr>
            <w:rStyle w:val="Hyperlink"/>
          </w:rPr>
          <w:t>information sheets</w:t>
        </w:r>
      </w:hyperlink>
      <w:r w:rsidR="002C4E6B">
        <w:t>.</w:t>
      </w:r>
    </w:p>
    <w:p w14:paraId="27C510E4" w14:textId="77777777" w:rsidR="00CC76F6" w:rsidRDefault="00CC76F6" w:rsidP="004C762A">
      <w:pPr>
        <w:pStyle w:val="HWHeading2"/>
      </w:pPr>
      <w:r>
        <w:t>What will happen to the findings of the project?</w:t>
      </w:r>
    </w:p>
    <w:p w14:paraId="4E25C7A1" w14:textId="5CB18A36" w:rsidR="00CC76F6" w:rsidRDefault="00CC76F6" w:rsidP="00CC76F6">
      <w:pPr>
        <w:pStyle w:val="HWNormalText"/>
      </w:pPr>
      <w:r>
        <w:t>Think about how the findings will be used and by whom. You'll need to decide who'll write and/or publish any reports or other outputs</w:t>
      </w:r>
      <w:r w:rsidR="003542A8">
        <w:t>.</w:t>
      </w:r>
    </w:p>
    <w:p w14:paraId="1A684C4C" w14:textId="77777777" w:rsidR="00CC76F6" w:rsidRDefault="00CC76F6" w:rsidP="00CC76F6">
      <w:pPr>
        <w:pStyle w:val="HWNormalText"/>
      </w:pPr>
      <w:r>
        <w:t>If the other partner is taking responsibility for publishing the results, check whether you can also use the data for other purposes.</w:t>
      </w:r>
    </w:p>
    <w:p w14:paraId="2E43CD29" w14:textId="77777777" w:rsidR="00CC76F6" w:rsidRDefault="00CC76F6" w:rsidP="004C762A">
      <w:pPr>
        <w:pStyle w:val="HWHeading2"/>
      </w:pPr>
      <w:r>
        <w:lastRenderedPageBreak/>
        <w:t>How will each organisation be acknowledged in any project reports or other outputs?</w:t>
      </w:r>
    </w:p>
    <w:p w14:paraId="7A2277A8" w14:textId="77777777" w:rsidR="00CC76F6" w:rsidRDefault="00CC76F6" w:rsidP="00CC76F6">
      <w:pPr>
        <w:pStyle w:val="HWNormalText"/>
      </w:pPr>
      <w:r>
        <w:t>Agree this at the outset.</w:t>
      </w:r>
    </w:p>
    <w:p w14:paraId="1755591A" w14:textId="77777777" w:rsidR="00CC76F6" w:rsidRDefault="00CC76F6" w:rsidP="004C762A">
      <w:pPr>
        <w:pStyle w:val="HWHeading2"/>
      </w:pPr>
      <w:r>
        <w:t>What do you need to do to maintain Healthwatch's independence?</w:t>
      </w:r>
    </w:p>
    <w:p w14:paraId="4047F1AB" w14:textId="77777777" w:rsidR="00CC76F6" w:rsidRDefault="00CC76F6" w:rsidP="00CC76F6">
      <w:pPr>
        <w:pStyle w:val="HWNormalText"/>
      </w:pPr>
      <w:r>
        <w:t>Work out an appropriate decision-making process between the partners to agree on the findings and recommendations. This needs to consider what you'll do if other partners disagree or want to suppress findings that they consider unhelpful.</w:t>
      </w:r>
    </w:p>
    <w:p w14:paraId="4F732E43" w14:textId="77777777" w:rsidR="00E636FE" w:rsidRDefault="00E636FE" w:rsidP="00E636FE">
      <w:pPr>
        <w:pStyle w:val="HWNormalText"/>
        <w:rPr>
          <w:b/>
          <w:bCs/>
        </w:rPr>
      </w:pPr>
      <w:r w:rsidRPr="00E636FE">
        <w:t>You need to consider each of these points and, where relevant, agree on them during the planning stage and follow through throughout the project's life. Healthwatch should also consider the most effective way to formalise this agreement. You can achieve this through a collaboration agreement, terms of reference, or a memorandum of understanding, or these points could be agreed upon and recorded via email.</w:t>
      </w:r>
    </w:p>
    <w:p w14:paraId="11CA45B5" w14:textId="1092166E" w:rsidR="00CC76F6" w:rsidRDefault="00CC76F6" w:rsidP="004C762A">
      <w:pPr>
        <w:pStyle w:val="HWHeading2"/>
      </w:pPr>
      <w:r>
        <w:t>Further reading</w:t>
      </w:r>
    </w:p>
    <w:p w14:paraId="17E0EB5A" w14:textId="442A82F5" w:rsidR="00CC76F6" w:rsidRDefault="00CC76F6" w:rsidP="00CC76F6">
      <w:pPr>
        <w:pStyle w:val="HWNormalText"/>
      </w:pPr>
      <w:hyperlink r:id="rId22" w:history="1">
        <w:r w:rsidRPr="00470DDE">
          <w:rPr>
            <w:rStyle w:val="Hyperlink"/>
            <w:b/>
            <w:bCs/>
          </w:rPr>
          <w:t xml:space="preserve">Working with partners </w:t>
        </w:r>
        <w:r w:rsidR="00E07A0D" w:rsidRPr="00470DDE">
          <w:rPr>
            <w:rStyle w:val="Hyperlink"/>
            <w:b/>
            <w:bCs/>
          </w:rPr>
          <w:t>to create a stronger voice for residents</w:t>
        </w:r>
        <w:r w:rsidRPr="00470DDE">
          <w:rPr>
            <w:rStyle w:val="Hyperlink"/>
            <w:b/>
            <w:bCs/>
          </w:rPr>
          <w:t>–</w:t>
        </w:r>
      </w:hyperlink>
      <w:r>
        <w:t xml:space="preserve"> </w:t>
      </w:r>
      <w:r w:rsidR="00E07A0D">
        <w:t xml:space="preserve">this guidance </w:t>
      </w:r>
      <w:r w:rsidR="00007E3C">
        <w:t>explains how</w:t>
      </w:r>
      <w:r w:rsidR="00E07A0D">
        <w:t xml:space="preserve"> Healthwatch Islington</w:t>
      </w:r>
      <w:r w:rsidR="00007E3C">
        <w:t xml:space="preserve"> worked with local partners to tackle health inequalities.</w:t>
      </w:r>
    </w:p>
    <w:p w14:paraId="74F03AAB" w14:textId="2584C375" w:rsidR="004C762A" w:rsidRDefault="00CC76F6" w:rsidP="00CC76F6">
      <w:pPr>
        <w:pStyle w:val="HWNormalText"/>
      </w:pPr>
      <w:hyperlink r:id="rId23" w:history="1">
        <w:r w:rsidRPr="00A460CF">
          <w:rPr>
            <w:rStyle w:val="Hyperlink"/>
            <w:b/>
            <w:bCs/>
          </w:rPr>
          <w:t>Helping you facilitate collaboration at place and system-level</w:t>
        </w:r>
      </w:hyperlink>
      <w:r w:rsidRPr="00A460CF">
        <w:rPr>
          <w:b/>
          <w:bCs/>
        </w:rPr>
        <w:t xml:space="preserve"> –</w:t>
      </w:r>
      <w:r>
        <w:t xml:space="preserve"> this comprehensive toolkit sets out everything you need to know about working with other Healthwatch across an ICS area.</w:t>
      </w:r>
    </w:p>
    <w:p w14:paraId="56AC5F9D" w14:textId="77777777" w:rsidR="00F4459D" w:rsidRDefault="00F4459D" w:rsidP="004A43F3">
      <w:pPr>
        <w:pStyle w:val="HWNormalText"/>
      </w:pPr>
    </w:p>
    <w:p w14:paraId="5A4252AF" w14:textId="77777777" w:rsidR="00E0135A" w:rsidRDefault="00E0135A" w:rsidP="004A43F3">
      <w:pPr>
        <w:pStyle w:val="HWNormalText"/>
        <w:sectPr w:rsidR="00E0135A" w:rsidSect="00762252">
          <w:headerReference w:type="default" r:id="rId24"/>
          <w:footerReference w:type="default" r:id="rId25"/>
          <w:pgSz w:w="11906" w:h="16838" w:code="9"/>
          <w:pgMar w:top="851" w:right="737" w:bottom="1304" w:left="737" w:header="624" w:footer="454" w:gutter="0"/>
          <w:pgNumType w:start="1"/>
          <w:cols w:space="708"/>
          <w:docGrid w:linePitch="360"/>
        </w:sectPr>
      </w:pPr>
    </w:p>
    <w:p w14:paraId="3D6AE176" w14:textId="77777777" w:rsidR="004A43F3" w:rsidRPr="006147DF" w:rsidRDefault="004A43F3" w:rsidP="006147DF">
      <w:pPr>
        <w:pStyle w:val="HWEndPage1"/>
      </w:pPr>
      <w:r w:rsidRPr="006147DF">
        <w:lastRenderedPageBreak/>
        <w:t>Healthwatch England</w:t>
      </w:r>
      <w:r w:rsidR="001C4D43">
        <w:t xml:space="preserve"> </w:t>
      </w:r>
    </w:p>
    <w:p w14:paraId="48583632" w14:textId="77777777" w:rsidR="004A43F3" w:rsidRPr="006147DF" w:rsidRDefault="004A43F3" w:rsidP="006147DF">
      <w:pPr>
        <w:pStyle w:val="HWEndPage2"/>
      </w:pPr>
      <w:r w:rsidRPr="006147DF">
        <w:t>National Customer Service Centre</w:t>
      </w:r>
    </w:p>
    <w:p w14:paraId="7B23FD31" w14:textId="77777777" w:rsidR="004A43F3" w:rsidRPr="006147DF" w:rsidRDefault="004A43F3" w:rsidP="006147DF">
      <w:pPr>
        <w:pStyle w:val="HWEndPage2"/>
      </w:pPr>
      <w:r w:rsidRPr="006147DF">
        <w:t>Citygate</w:t>
      </w:r>
    </w:p>
    <w:p w14:paraId="2EB5499F" w14:textId="77777777" w:rsidR="004A43F3" w:rsidRPr="006147DF" w:rsidRDefault="004A43F3" w:rsidP="006147DF">
      <w:pPr>
        <w:pStyle w:val="HWEndPage2"/>
      </w:pPr>
      <w:r w:rsidRPr="006147DF">
        <w:t>Gallowgate</w:t>
      </w:r>
    </w:p>
    <w:p w14:paraId="7BD6264F" w14:textId="77777777" w:rsidR="004A43F3" w:rsidRPr="006147DF" w:rsidRDefault="004A43F3" w:rsidP="006147DF">
      <w:pPr>
        <w:pStyle w:val="HWEndPage2"/>
      </w:pPr>
      <w:r w:rsidRPr="006147DF">
        <w:t>Newcastle upon Tyne</w:t>
      </w:r>
    </w:p>
    <w:p w14:paraId="6188A4D3" w14:textId="77777777" w:rsidR="004A43F3" w:rsidRPr="006147DF" w:rsidRDefault="004A43F3" w:rsidP="006147DF">
      <w:pPr>
        <w:pStyle w:val="HWEndPage2"/>
      </w:pPr>
      <w:r w:rsidRPr="006147DF">
        <w:t>NE1 4PA</w:t>
      </w:r>
    </w:p>
    <w:p w14:paraId="522823DE" w14:textId="77777777" w:rsidR="006147DF" w:rsidRPr="006147DF" w:rsidRDefault="006147DF" w:rsidP="006147DF">
      <w:pPr>
        <w:pStyle w:val="HWEndPage2"/>
      </w:pPr>
    </w:p>
    <w:p w14:paraId="68F4E718"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3632" behindDoc="1" locked="1" layoutInCell="1" allowOverlap="1" wp14:anchorId="720A98F0" wp14:editId="1B9A1877">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6"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7728" behindDoc="0" locked="1" layoutInCell="1" allowOverlap="1" wp14:anchorId="01A948A7" wp14:editId="5654E3B7">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27" cstate="print"/>
                    <a:stretch>
                      <a:fillRect/>
                    </a:stretch>
                  </pic:blipFill>
                  <pic:spPr>
                    <a:xfrm>
                      <a:off x="0" y="0"/>
                      <a:ext cx="3343275" cy="914400"/>
                    </a:xfrm>
                    <a:prstGeom prst="rect">
                      <a:avLst/>
                    </a:prstGeom>
                  </pic:spPr>
                </pic:pic>
              </a:graphicData>
            </a:graphic>
          </wp:anchor>
        </w:drawing>
      </w:r>
    </w:p>
    <w:p w14:paraId="16526FB1" w14:textId="77777777" w:rsidR="004A43F3" w:rsidRPr="006147DF" w:rsidRDefault="004A43F3" w:rsidP="006147DF">
      <w:pPr>
        <w:pStyle w:val="HWEndPage3"/>
      </w:pPr>
      <w:r w:rsidRPr="006147DF">
        <w:t>t: 03000 683 000</w:t>
      </w:r>
    </w:p>
    <w:p w14:paraId="7393A952" w14:textId="77777777" w:rsidR="004A43F3" w:rsidRPr="006147DF" w:rsidRDefault="004A43F3" w:rsidP="006147DF">
      <w:pPr>
        <w:pStyle w:val="HWEndPage3"/>
      </w:pPr>
      <w:r w:rsidRPr="006147DF">
        <w:t>e: enquiries@healthwatch.co.uk</w:t>
      </w:r>
    </w:p>
    <w:p w14:paraId="02D3AEB2" w14:textId="77777777" w:rsidR="004A43F3" w:rsidRPr="006147DF" w:rsidRDefault="006147DF" w:rsidP="006147DF">
      <w:pPr>
        <w:pStyle w:val="HWEndPage3"/>
      </w:pPr>
      <w:r w:rsidRPr="006147DF">
        <w:rPr>
          <w:noProof/>
          <w:lang w:eastAsia="en-GB"/>
        </w:rPr>
        <w:drawing>
          <wp:anchor distT="0" distB="0" distL="0" distR="36195" simplePos="0" relativeHeight="251654656" behindDoc="0" locked="0" layoutInCell="1" allowOverlap="1" wp14:anchorId="11B0D467" wp14:editId="47D12818">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0DE1988A" w14:textId="77777777" w:rsidR="004A43F3" w:rsidRPr="006147DF" w:rsidRDefault="006147DF" w:rsidP="006147DF">
      <w:pPr>
        <w:pStyle w:val="HWEndPage3"/>
      </w:pPr>
      <w:r w:rsidRPr="006147DF">
        <w:rPr>
          <w:noProof/>
          <w:lang w:eastAsia="en-GB"/>
        </w:rPr>
        <w:drawing>
          <wp:anchor distT="0" distB="0" distL="0" distR="36195" simplePos="0" relativeHeight="251655680" behindDoc="0" locked="0" layoutInCell="1" allowOverlap="1" wp14:anchorId="3DFBEECB" wp14:editId="0504C5EE">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9"/>
      <w:footerReference w:type="default" r:id="rId30"/>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7207" w14:textId="77777777" w:rsidR="005F252D" w:rsidRDefault="005F252D" w:rsidP="007D1518">
      <w:r>
        <w:separator/>
      </w:r>
    </w:p>
  </w:endnote>
  <w:endnote w:type="continuationSeparator" w:id="0">
    <w:p w14:paraId="3455AD35" w14:textId="77777777" w:rsidR="005F252D" w:rsidRDefault="005F252D"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3F00"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5A3C" w14:textId="46CBCCE9" w:rsidR="00A5113A" w:rsidRDefault="00C172C1">
    <w:pPr>
      <w:pStyle w:val="Footer"/>
    </w:pPr>
    <w:r>
      <w:rPr>
        <w:noProof/>
        <w:lang w:eastAsia="en-GB"/>
      </w:rPr>
      <mc:AlternateContent>
        <mc:Choice Requires="wps">
          <w:drawing>
            <wp:anchor distT="0" distB="0" distL="114300" distR="114300" simplePos="0" relativeHeight="251660288" behindDoc="0" locked="1" layoutInCell="1" allowOverlap="1" wp14:anchorId="104F030B" wp14:editId="423473EB">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50F8B4"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4C762A">
      <w:t>Working in partnership and maintaining Healthwatch independence</w:t>
    </w:r>
    <w:r w:rsidR="00F85233">
      <w:t xml:space="preserve"> </w:t>
    </w:r>
  </w:p>
  <w:p w14:paraId="6AABA103"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BCE7"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E03B" w14:textId="77777777" w:rsidR="005F252D" w:rsidRDefault="005F252D" w:rsidP="007D1518">
      <w:r>
        <w:separator/>
      </w:r>
    </w:p>
  </w:footnote>
  <w:footnote w:type="continuationSeparator" w:id="0">
    <w:p w14:paraId="74081EED" w14:textId="77777777" w:rsidR="005F252D" w:rsidRDefault="005F252D"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44D0"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F2C"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02BF"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613C9"/>
    <w:multiLevelType w:val="hybridMultilevel"/>
    <w:tmpl w:val="7292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65261"/>
    <w:multiLevelType w:val="hybridMultilevel"/>
    <w:tmpl w:val="3994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304894636">
    <w:abstractNumId w:val="12"/>
  </w:num>
  <w:num w:numId="2" w16cid:durableId="145128511">
    <w:abstractNumId w:val="9"/>
  </w:num>
  <w:num w:numId="3" w16cid:durableId="902132524">
    <w:abstractNumId w:val="7"/>
  </w:num>
  <w:num w:numId="4" w16cid:durableId="1260258475">
    <w:abstractNumId w:val="6"/>
  </w:num>
  <w:num w:numId="5" w16cid:durableId="710346922">
    <w:abstractNumId w:val="5"/>
  </w:num>
  <w:num w:numId="6" w16cid:durableId="291903689">
    <w:abstractNumId w:val="4"/>
  </w:num>
  <w:num w:numId="7" w16cid:durableId="1997682897">
    <w:abstractNumId w:val="8"/>
  </w:num>
  <w:num w:numId="8" w16cid:durableId="255015993">
    <w:abstractNumId w:val="3"/>
  </w:num>
  <w:num w:numId="9" w16cid:durableId="3096326">
    <w:abstractNumId w:val="2"/>
  </w:num>
  <w:num w:numId="10" w16cid:durableId="1249656295">
    <w:abstractNumId w:val="1"/>
  </w:num>
  <w:num w:numId="11" w16cid:durableId="204366220">
    <w:abstractNumId w:val="0"/>
  </w:num>
  <w:num w:numId="12" w16cid:durableId="1491481906">
    <w:abstractNumId w:val="17"/>
  </w:num>
  <w:num w:numId="13" w16cid:durableId="1989362320">
    <w:abstractNumId w:val="15"/>
  </w:num>
  <w:num w:numId="14" w16cid:durableId="1066218689">
    <w:abstractNumId w:val="10"/>
  </w:num>
  <w:num w:numId="15" w16cid:durableId="1789884719">
    <w:abstractNumId w:val="14"/>
  </w:num>
  <w:num w:numId="16" w16cid:durableId="348914239">
    <w:abstractNumId w:val="13"/>
  </w:num>
  <w:num w:numId="17" w16cid:durableId="2050447955">
    <w:abstractNumId w:val="19"/>
  </w:num>
  <w:num w:numId="18" w16cid:durableId="1178152627">
    <w:abstractNumId w:val="18"/>
  </w:num>
  <w:num w:numId="19" w16cid:durableId="1379016726">
    <w:abstractNumId w:val="11"/>
  </w:num>
  <w:num w:numId="20" w16cid:durableId="217516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F6"/>
    <w:rsid w:val="00004710"/>
    <w:rsid w:val="00007E3C"/>
    <w:rsid w:val="00012FB9"/>
    <w:rsid w:val="00023116"/>
    <w:rsid w:val="000321D0"/>
    <w:rsid w:val="00034158"/>
    <w:rsid w:val="00034A8D"/>
    <w:rsid w:val="000368F0"/>
    <w:rsid w:val="00042799"/>
    <w:rsid w:val="00055C89"/>
    <w:rsid w:val="00056E1D"/>
    <w:rsid w:val="0006241D"/>
    <w:rsid w:val="00063D7C"/>
    <w:rsid w:val="00064FF9"/>
    <w:rsid w:val="00091BD1"/>
    <w:rsid w:val="00092015"/>
    <w:rsid w:val="000A2EE3"/>
    <w:rsid w:val="000A4351"/>
    <w:rsid w:val="000B5938"/>
    <w:rsid w:val="000C6021"/>
    <w:rsid w:val="000D072F"/>
    <w:rsid w:val="000D5E1C"/>
    <w:rsid w:val="000D772D"/>
    <w:rsid w:val="000E4E21"/>
    <w:rsid w:val="000F6681"/>
    <w:rsid w:val="00105082"/>
    <w:rsid w:val="00123D5C"/>
    <w:rsid w:val="00125900"/>
    <w:rsid w:val="0013019E"/>
    <w:rsid w:val="00140A32"/>
    <w:rsid w:val="001518C5"/>
    <w:rsid w:val="00153797"/>
    <w:rsid w:val="00163642"/>
    <w:rsid w:val="00164078"/>
    <w:rsid w:val="00170073"/>
    <w:rsid w:val="00172A2A"/>
    <w:rsid w:val="0017762A"/>
    <w:rsid w:val="001815C4"/>
    <w:rsid w:val="001A0EEB"/>
    <w:rsid w:val="001B6C6E"/>
    <w:rsid w:val="001C4D43"/>
    <w:rsid w:val="001C52CA"/>
    <w:rsid w:val="001D6A1C"/>
    <w:rsid w:val="001E1DE0"/>
    <w:rsid w:val="001F2407"/>
    <w:rsid w:val="001F7792"/>
    <w:rsid w:val="00203973"/>
    <w:rsid w:val="002138FB"/>
    <w:rsid w:val="00214D53"/>
    <w:rsid w:val="002207D0"/>
    <w:rsid w:val="0023202F"/>
    <w:rsid w:val="00232593"/>
    <w:rsid w:val="0024364F"/>
    <w:rsid w:val="00244DD7"/>
    <w:rsid w:val="00271909"/>
    <w:rsid w:val="00273108"/>
    <w:rsid w:val="00284389"/>
    <w:rsid w:val="00286E9E"/>
    <w:rsid w:val="00292CAD"/>
    <w:rsid w:val="0029313C"/>
    <w:rsid w:val="002B124C"/>
    <w:rsid w:val="002B141C"/>
    <w:rsid w:val="002C4E6B"/>
    <w:rsid w:val="002C51E3"/>
    <w:rsid w:val="002C6E91"/>
    <w:rsid w:val="002D775B"/>
    <w:rsid w:val="002E68DB"/>
    <w:rsid w:val="002F3229"/>
    <w:rsid w:val="00301B0F"/>
    <w:rsid w:val="00313819"/>
    <w:rsid w:val="003151E3"/>
    <w:rsid w:val="003163F1"/>
    <w:rsid w:val="003179C6"/>
    <w:rsid w:val="00334EE6"/>
    <w:rsid w:val="00335A66"/>
    <w:rsid w:val="003400AD"/>
    <w:rsid w:val="00340D2E"/>
    <w:rsid w:val="003424CC"/>
    <w:rsid w:val="00350A67"/>
    <w:rsid w:val="003541D5"/>
    <w:rsid w:val="003542A8"/>
    <w:rsid w:val="00363040"/>
    <w:rsid w:val="00375858"/>
    <w:rsid w:val="00376BF4"/>
    <w:rsid w:val="003825F0"/>
    <w:rsid w:val="00391AA0"/>
    <w:rsid w:val="003A32DD"/>
    <w:rsid w:val="003F0F35"/>
    <w:rsid w:val="003F137B"/>
    <w:rsid w:val="003F6DCB"/>
    <w:rsid w:val="00402106"/>
    <w:rsid w:val="004222B7"/>
    <w:rsid w:val="00430D91"/>
    <w:rsid w:val="00430F0A"/>
    <w:rsid w:val="00432E65"/>
    <w:rsid w:val="00434080"/>
    <w:rsid w:val="00451D9C"/>
    <w:rsid w:val="00466D05"/>
    <w:rsid w:val="00470DDE"/>
    <w:rsid w:val="004874D1"/>
    <w:rsid w:val="00490DEF"/>
    <w:rsid w:val="004928CC"/>
    <w:rsid w:val="004A43F3"/>
    <w:rsid w:val="004A4D69"/>
    <w:rsid w:val="004C762A"/>
    <w:rsid w:val="004D2A8F"/>
    <w:rsid w:val="004D2EC8"/>
    <w:rsid w:val="004D329E"/>
    <w:rsid w:val="004E3B85"/>
    <w:rsid w:val="004E5916"/>
    <w:rsid w:val="004E7108"/>
    <w:rsid w:val="004F2ECE"/>
    <w:rsid w:val="00507335"/>
    <w:rsid w:val="005248C3"/>
    <w:rsid w:val="00555E1C"/>
    <w:rsid w:val="005702A4"/>
    <w:rsid w:val="0057205B"/>
    <w:rsid w:val="005909EC"/>
    <w:rsid w:val="0059120E"/>
    <w:rsid w:val="0059175F"/>
    <w:rsid w:val="00597AA1"/>
    <w:rsid w:val="005A5019"/>
    <w:rsid w:val="005B2DF7"/>
    <w:rsid w:val="005C2592"/>
    <w:rsid w:val="005C345D"/>
    <w:rsid w:val="005C4837"/>
    <w:rsid w:val="005D37AA"/>
    <w:rsid w:val="005E11F2"/>
    <w:rsid w:val="005E2C0C"/>
    <w:rsid w:val="005E4536"/>
    <w:rsid w:val="005F252D"/>
    <w:rsid w:val="006037F9"/>
    <w:rsid w:val="00607410"/>
    <w:rsid w:val="006126EB"/>
    <w:rsid w:val="006147DF"/>
    <w:rsid w:val="00623E54"/>
    <w:rsid w:val="00633D55"/>
    <w:rsid w:val="0064059A"/>
    <w:rsid w:val="0064787F"/>
    <w:rsid w:val="006511C7"/>
    <w:rsid w:val="00651743"/>
    <w:rsid w:val="00654C6B"/>
    <w:rsid w:val="00691B86"/>
    <w:rsid w:val="00692C3D"/>
    <w:rsid w:val="00693D02"/>
    <w:rsid w:val="006A0E9E"/>
    <w:rsid w:val="006B30A4"/>
    <w:rsid w:val="006C301A"/>
    <w:rsid w:val="006C3ACA"/>
    <w:rsid w:val="006C5E89"/>
    <w:rsid w:val="006D2FAE"/>
    <w:rsid w:val="006D5592"/>
    <w:rsid w:val="006E5CC4"/>
    <w:rsid w:val="006F0676"/>
    <w:rsid w:val="006F6803"/>
    <w:rsid w:val="00701C43"/>
    <w:rsid w:val="0070477F"/>
    <w:rsid w:val="007104FB"/>
    <w:rsid w:val="007217CC"/>
    <w:rsid w:val="00721CC2"/>
    <w:rsid w:val="00725DA6"/>
    <w:rsid w:val="0073192A"/>
    <w:rsid w:val="00733072"/>
    <w:rsid w:val="00740E0D"/>
    <w:rsid w:val="00741B29"/>
    <w:rsid w:val="00744DAC"/>
    <w:rsid w:val="00750D67"/>
    <w:rsid w:val="00762252"/>
    <w:rsid w:val="00762C96"/>
    <w:rsid w:val="00777DEE"/>
    <w:rsid w:val="00783C98"/>
    <w:rsid w:val="0078459F"/>
    <w:rsid w:val="007855EC"/>
    <w:rsid w:val="00792CC3"/>
    <w:rsid w:val="00794500"/>
    <w:rsid w:val="007B2041"/>
    <w:rsid w:val="007B551D"/>
    <w:rsid w:val="007C1380"/>
    <w:rsid w:val="007C72ED"/>
    <w:rsid w:val="007D1518"/>
    <w:rsid w:val="007D4EFC"/>
    <w:rsid w:val="007E2B37"/>
    <w:rsid w:val="007E4394"/>
    <w:rsid w:val="007F138D"/>
    <w:rsid w:val="00804BBA"/>
    <w:rsid w:val="00815EC4"/>
    <w:rsid w:val="0082071A"/>
    <w:rsid w:val="008214F3"/>
    <w:rsid w:val="00841516"/>
    <w:rsid w:val="008416D6"/>
    <w:rsid w:val="0084228B"/>
    <w:rsid w:val="008474B2"/>
    <w:rsid w:val="00851069"/>
    <w:rsid w:val="00871B7D"/>
    <w:rsid w:val="008748A6"/>
    <w:rsid w:val="00875542"/>
    <w:rsid w:val="00877269"/>
    <w:rsid w:val="00884522"/>
    <w:rsid w:val="00887348"/>
    <w:rsid w:val="008A5DA1"/>
    <w:rsid w:val="008B458D"/>
    <w:rsid w:val="008B7DD8"/>
    <w:rsid w:val="008C3B84"/>
    <w:rsid w:val="008C4DDF"/>
    <w:rsid w:val="008C68A2"/>
    <w:rsid w:val="008C78F4"/>
    <w:rsid w:val="008D14DE"/>
    <w:rsid w:val="008E5204"/>
    <w:rsid w:val="008F548F"/>
    <w:rsid w:val="0090247A"/>
    <w:rsid w:val="00923C0A"/>
    <w:rsid w:val="00935F37"/>
    <w:rsid w:val="0094131E"/>
    <w:rsid w:val="009434AF"/>
    <w:rsid w:val="00943F47"/>
    <w:rsid w:val="009501A8"/>
    <w:rsid w:val="00957ECB"/>
    <w:rsid w:val="00963CE4"/>
    <w:rsid w:val="00971C0F"/>
    <w:rsid w:val="00981337"/>
    <w:rsid w:val="009824B3"/>
    <w:rsid w:val="00996E19"/>
    <w:rsid w:val="009979C3"/>
    <w:rsid w:val="009B2FE8"/>
    <w:rsid w:val="009C224C"/>
    <w:rsid w:val="009D16A0"/>
    <w:rsid w:val="009D3858"/>
    <w:rsid w:val="009E27BE"/>
    <w:rsid w:val="009E43FD"/>
    <w:rsid w:val="009F3401"/>
    <w:rsid w:val="009F3ABB"/>
    <w:rsid w:val="009F48BB"/>
    <w:rsid w:val="00A00671"/>
    <w:rsid w:val="00A048C3"/>
    <w:rsid w:val="00A15942"/>
    <w:rsid w:val="00A1748E"/>
    <w:rsid w:val="00A2138A"/>
    <w:rsid w:val="00A26E5F"/>
    <w:rsid w:val="00A3752C"/>
    <w:rsid w:val="00A460CF"/>
    <w:rsid w:val="00A5113A"/>
    <w:rsid w:val="00A93AD5"/>
    <w:rsid w:val="00A94B35"/>
    <w:rsid w:val="00AA7446"/>
    <w:rsid w:val="00AB0BD8"/>
    <w:rsid w:val="00AC1411"/>
    <w:rsid w:val="00AC4223"/>
    <w:rsid w:val="00AD5E2D"/>
    <w:rsid w:val="00AE5FE0"/>
    <w:rsid w:val="00AF0B97"/>
    <w:rsid w:val="00B00F36"/>
    <w:rsid w:val="00B05FAC"/>
    <w:rsid w:val="00B060EF"/>
    <w:rsid w:val="00B23C40"/>
    <w:rsid w:val="00B31FC3"/>
    <w:rsid w:val="00B52F0C"/>
    <w:rsid w:val="00B56941"/>
    <w:rsid w:val="00B63291"/>
    <w:rsid w:val="00B66BE5"/>
    <w:rsid w:val="00B7246A"/>
    <w:rsid w:val="00B75C79"/>
    <w:rsid w:val="00B80CB5"/>
    <w:rsid w:val="00B912F1"/>
    <w:rsid w:val="00B913C6"/>
    <w:rsid w:val="00B91DD6"/>
    <w:rsid w:val="00B92639"/>
    <w:rsid w:val="00B96A1C"/>
    <w:rsid w:val="00BA79E1"/>
    <w:rsid w:val="00BB0E31"/>
    <w:rsid w:val="00BC5ACF"/>
    <w:rsid w:val="00BD0EE9"/>
    <w:rsid w:val="00BE4E2F"/>
    <w:rsid w:val="00BE5DD6"/>
    <w:rsid w:val="00BF5C58"/>
    <w:rsid w:val="00C029ED"/>
    <w:rsid w:val="00C172C1"/>
    <w:rsid w:val="00C23174"/>
    <w:rsid w:val="00C23E84"/>
    <w:rsid w:val="00C35D2E"/>
    <w:rsid w:val="00C36385"/>
    <w:rsid w:val="00C4588F"/>
    <w:rsid w:val="00C519AB"/>
    <w:rsid w:val="00C6573A"/>
    <w:rsid w:val="00C73E04"/>
    <w:rsid w:val="00C77F3E"/>
    <w:rsid w:val="00C803C4"/>
    <w:rsid w:val="00C964CE"/>
    <w:rsid w:val="00C96E68"/>
    <w:rsid w:val="00C97A76"/>
    <w:rsid w:val="00CA27BD"/>
    <w:rsid w:val="00CA28C8"/>
    <w:rsid w:val="00CC18A0"/>
    <w:rsid w:val="00CC5D7B"/>
    <w:rsid w:val="00CC76F6"/>
    <w:rsid w:val="00CD50C5"/>
    <w:rsid w:val="00CD70F3"/>
    <w:rsid w:val="00CE798F"/>
    <w:rsid w:val="00CF3DAE"/>
    <w:rsid w:val="00CF5412"/>
    <w:rsid w:val="00D144A9"/>
    <w:rsid w:val="00D227A8"/>
    <w:rsid w:val="00D34AFA"/>
    <w:rsid w:val="00D368D5"/>
    <w:rsid w:val="00D404B4"/>
    <w:rsid w:val="00D52625"/>
    <w:rsid w:val="00D62A31"/>
    <w:rsid w:val="00D82202"/>
    <w:rsid w:val="00D82C9B"/>
    <w:rsid w:val="00D8441A"/>
    <w:rsid w:val="00D90905"/>
    <w:rsid w:val="00D95CF1"/>
    <w:rsid w:val="00D95EEC"/>
    <w:rsid w:val="00DB2D7B"/>
    <w:rsid w:val="00DB3298"/>
    <w:rsid w:val="00DB59BE"/>
    <w:rsid w:val="00DB6A25"/>
    <w:rsid w:val="00DC4BA6"/>
    <w:rsid w:val="00DC7297"/>
    <w:rsid w:val="00DE0FD4"/>
    <w:rsid w:val="00DF5DC9"/>
    <w:rsid w:val="00E0135A"/>
    <w:rsid w:val="00E019DA"/>
    <w:rsid w:val="00E02890"/>
    <w:rsid w:val="00E05FB1"/>
    <w:rsid w:val="00E06CD3"/>
    <w:rsid w:val="00E07A0D"/>
    <w:rsid w:val="00E12D07"/>
    <w:rsid w:val="00E2114F"/>
    <w:rsid w:val="00E237DC"/>
    <w:rsid w:val="00E2568A"/>
    <w:rsid w:val="00E258B8"/>
    <w:rsid w:val="00E26976"/>
    <w:rsid w:val="00E30A40"/>
    <w:rsid w:val="00E33F1F"/>
    <w:rsid w:val="00E45E90"/>
    <w:rsid w:val="00E617EE"/>
    <w:rsid w:val="00E636FE"/>
    <w:rsid w:val="00E77F79"/>
    <w:rsid w:val="00E87033"/>
    <w:rsid w:val="00E903EC"/>
    <w:rsid w:val="00E97B38"/>
    <w:rsid w:val="00EA6230"/>
    <w:rsid w:val="00EA6620"/>
    <w:rsid w:val="00EC102C"/>
    <w:rsid w:val="00EC3E6C"/>
    <w:rsid w:val="00EC7BBE"/>
    <w:rsid w:val="00EF7028"/>
    <w:rsid w:val="00F27E34"/>
    <w:rsid w:val="00F4459D"/>
    <w:rsid w:val="00F47F3D"/>
    <w:rsid w:val="00F52A8A"/>
    <w:rsid w:val="00F62FDD"/>
    <w:rsid w:val="00F761E6"/>
    <w:rsid w:val="00F85233"/>
    <w:rsid w:val="00F93524"/>
    <w:rsid w:val="00FB1BB8"/>
    <w:rsid w:val="00FB5B43"/>
    <w:rsid w:val="00FC2DE4"/>
    <w:rsid w:val="00FE2428"/>
    <w:rsid w:val="00FE33D7"/>
    <w:rsid w:val="00FE6E88"/>
    <w:rsid w:val="00FF3EFE"/>
    <w:rsid w:val="00FF4EE4"/>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5E998"/>
  <w15:docId w15:val="{58938F0B-23B1-42BE-BA16-7A715714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uiPriority w:val="1"/>
    <w:qFormat/>
    <w:rsid w:val="003151E3"/>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character" w:styleId="UnresolvedMention">
    <w:name w:val="Unresolved Mention"/>
    <w:basedOn w:val="DefaultParagraphFont"/>
    <w:uiPriority w:val="99"/>
    <w:semiHidden/>
    <w:unhideWhenUsed/>
    <w:rsid w:val="00CC76F6"/>
    <w:rPr>
      <w:color w:val="605E5C"/>
      <w:shd w:val="clear" w:color="auto" w:fill="E1DFDD"/>
    </w:rPr>
  </w:style>
  <w:style w:type="character" w:styleId="FollowedHyperlink">
    <w:name w:val="FollowedHyperlink"/>
    <w:basedOn w:val="DefaultParagraphFont"/>
    <w:uiPriority w:val="9"/>
    <w:unhideWhenUsed/>
    <w:rsid w:val="00E12D07"/>
    <w:rPr>
      <w:color w:val="A815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etwork.healthwatch.co.uk/guidance/2019-02-20/template-doing-data-protection-impact-assessment"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network.healthwatch.co.uk/guidance/2022-06-17/template-telling-people-how-you-will-use-their-data-phone-and-pers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etwork.healthwatch.co.uk/guidance/2022-06-17/guide-data-processing-and-protec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etwork.healthwatch.co.uk/guidance/2020-02-12/guide-to-running-healthwatch" TargetMode="External"/><Relationship Id="rId20" Type="http://schemas.openxmlformats.org/officeDocument/2006/relationships/hyperlink" Target="https://network.healthwatch.co.uk/guidance/2022-03-21/how-to-develop-surve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etwork.healthwatch.co.uk/guidance/2021-01-13/helping-you-to-create-robust-conflict-interest-policy" TargetMode="External"/><Relationship Id="rId23" Type="http://schemas.openxmlformats.org/officeDocument/2006/relationships/hyperlink" Target="https://network.healthwatch.co.uk/guidance/2022-04-12/helping-you-facilitate-collaboration-place-and-system-level" TargetMode="Externa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network.healthwatch.co.uk/guidance/2022-04-27/template-privacy-statement-and-cookies-policy-your-websit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guidance/2022-05-16/working-partners-to-create-stronger-voice-residents" TargetMode="External"/><Relationship Id="rId27" Type="http://schemas.openxmlformats.org/officeDocument/2006/relationships/image" Target="media/image4.png"/><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dsS\Care%20Quality%20Commission\Healthwatch%20England%20Research%20and%20Insight%20Team%20-%20Documents\Network%20Support%20and%20Guidance\Network%20Guidance\20220512%20-%20Guidance%20template%20-%20teal%20no%20image.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bdf50f81f8de3b8ba811964f9318b0a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fe748c579b366c70ff7f85ac1833e00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documentManagement>
</p:properties>
</file>

<file path=customXml/itemProps1.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2.xml><?xml version="1.0" encoding="utf-8"?>
<ds:datastoreItem xmlns:ds="http://schemas.openxmlformats.org/officeDocument/2006/customXml" ds:itemID="{5AE54A65-124F-4FE9-8801-B60A47491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FA974-A182-48C5-970E-7567F9322492}">
  <ds:schemaRefs>
    <ds:schemaRef ds:uri="http://schemas.openxmlformats.org/officeDocument/2006/bibliography"/>
  </ds:schemaRefs>
</ds:datastoreItem>
</file>

<file path=customXml/itemProps4.xml><?xml version="1.0" encoding="utf-8"?>
<ds:datastoreItem xmlns:ds="http://schemas.openxmlformats.org/officeDocument/2006/customXml" ds:itemID="{3F52294F-95E2-4851-9576-28BE72AC0AA5}">
  <ds:schemaRefs>
    <ds:schemaRef ds:uri="http://schemas.microsoft.com/office/2006/metadata/properties"/>
    <ds:schemaRef ds:uri="http://schemas.microsoft.com/office/infopath/2007/PartnerControls"/>
    <ds:schemaRef ds:uri="19ba204a-7cec-4086-a9b5-f26e8fa56635"/>
    <ds:schemaRef ds:uri="6ce766b5-4c61-445e-8acf-a0272427aa83"/>
  </ds:schemaRefs>
</ds:datastoreItem>
</file>

<file path=docProps/app.xml><?xml version="1.0" encoding="utf-8"?>
<Properties xmlns="http://schemas.openxmlformats.org/officeDocument/2006/extended-properties" xmlns:vt="http://schemas.openxmlformats.org/officeDocument/2006/docPropsVTypes">
  <Template>20220512 - Guidance template - teal no image</Template>
  <TotalTime>1</TotalTime>
  <Pages>8</Pages>
  <Words>1306</Words>
  <Characters>7306</Characters>
  <Application>Microsoft Office Word</Application>
  <DocSecurity>0</DocSecurity>
  <Lines>188</Lines>
  <Paragraphs>83</Paragraphs>
  <ScaleCrop>false</ScaleCrop>
  <HeadingPairs>
    <vt:vector size="2" baseType="variant">
      <vt:variant>
        <vt:lpstr>Title</vt:lpstr>
      </vt:variant>
      <vt:variant>
        <vt:i4>1</vt:i4>
      </vt:variant>
    </vt:vector>
  </HeadingPairs>
  <TitlesOfParts>
    <vt:vector size="1" baseType="lpstr">
      <vt:lpstr>Campaign Toolkit</vt:lpstr>
    </vt:vector>
  </TitlesOfParts>
  <Company>Healthwatch</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Edwards, Sue</dc:creator>
  <cp:keywords>Report</cp:keywords>
  <dc:description>v2.24 by Kessler Associates</dc:description>
  <cp:lastModifiedBy>Chris Gorman</cp:lastModifiedBy>
  <cp:revision>3</cp:revision>
  <dcterms:created xsi:type="dcterms:W3CDTF">2026-01-16T10:29:00Z</dcterms:created>
  <dcterms:modified xsi:type="dcterms:W3CDTF">2026-01-16T10:29:00Z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0x010100AA7C1339D6737648A8C86C1C80D7AA4E</vt:lpwstr>
  </property>
  <property fmtid="{D5CDD505-2E9C-101B-9397-08002B2CF9AE}" pid="8" name="MediaServiceImageTags">
    <vt:lpwstr/>
  </property>
</Properties>
</file>